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6D4FF3">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sidR="006D4FF3">
              <w:rPr>
                <w:rFonts w:ascii="Arial" w:hAnsi="Arial" w:hint="cs"/>
                <w:b/>
                <w:bCs/>
                <w:sz w:val="26"/>
                <w:szCs w:val="26"/>
                <w:rtl/>
              </w:rPr>
              <w:t>שופט הבכיר</w:t>
            </w:r>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נאיל מהנא</w:t>
                </w:r>
              </w:sdtContent>
            </w:sdt>
          </w:p>
          <w:p w:rsidR="0094424E" w:rsidRPr="00DD05A8" w:rsidRDefault="0094424E" w:rsidP="00D44968">
            <w:pPr>
              <w:suppressLineNumbers/>
              <w:rPr>
                <w:rFonts w:ascii="Arial" w:hAnsi="Arial" w:cs="FrankRuehl"/>
                <w:sz w:val="26"/>
                <w:szCs w:val="26"/>
                <w:highlight w:val="yellow"/>
              </w:rPr>
            </w:pPr>
          </w:p>
        </w:tc>
      </w:tr>
      <w:tr w:rsidR="0094424E" w:rsidRPr="00365D11" w:rsidTr="00465D36">
        <w:trPr>
          <w:jc w:val="center"/>
        </w:trPr>
        <w:tc>
          <w:tcPr>
            <w:tcW w:w="3249" w:type="dxa"/>
            <w:gridSpan w:val="2"/>
          </w:tcPr>
          <w:p w:rsidR="0094424E" w:rsidRPr="00365D11" w:rsidRDefault="0094424E" w:rsidP="00D44968">
            <w:pPr>
              <w:suppressLineNumbers/>
              <w:rPr>
                <w:rFonts w:ascii="Arial" w:hAnsi="Arial"/>
                <w:b/>
                <w:bCs/>
                <w:noProof w:val="0"/>
              </w:rPr>
            </w:pPr>
          </w:p>
          <w:sdt>
            <w:sdtPr>
              <w:rPr>
                <w:rtl/>
              </w:rPr>
              <w:alias w:val="1180"/>
              <w:tag w:val="1180"/>
              <w:id w:val="637458750"/>
              <w:text w:multiLine="1"/>
            </w:sdtPr>
            <w:sdtEndPr/>
            <w:sdtContent>
              <w:p w:rsidR="001F6BAD" w:rsidRPr="00365D11" w:rsidRDefault="00365D11" w:rsidP="00365D11">
                <w:pPr>
                  <w:suppressLineNumbers/>
                  <w:rPr>
                    <w:rFonts w:ascii="Arial" w:hAnsi="Arial"/>
                    <w:b/>
                    <w:bCs/>
                    <w:noProof w:val="0"/>
                    <w:rtl/>
                  </w:rPr>
                </w:pPr>
                <w:r w:rsidRPr="00365D11">
                  <w:rPr>
                    <w:rFonts w:ascii="Arial" w:hAnsi="Arial" w:hint="cs"/>
                    <w:b/>
                    <w:bCs/>
                    <w:noProof w:val="0"/>
                    <w:rtl/>
                  </w:rPr>
                  <w:t>ה</w:t>
                </w:r>
                <w:r w:rsidR="00FC0F80" w:rsidRPr="00365D11">
                  <w:rPr>
                    <w:rFonts w:ascii="Arial" w:hAnsi="Arial"/>
                    <w:b/>
                    <w:bCs/>
                    <w:noProof w:val="0"/>
                    <w:rtl/>
                  </w:rPr>
                  <w:t>תובע</w:t>
                </w:r>
              </w:p>
            </w:sdtContent>
          </w:sdt>
        </w:tc>
        <w:tc>
          <w:tcPr>
            <w:tcW w:w="5571" w:type="dxa"/>
          </w:tcPr>
          <w:p w:rsidR="0094424E" w:rsidRPr="00365D11" w:rsidRDefault="0094424E" w:rsidP="00D44968">
            <w:pPr>
              <w:suppressLineNumbers/>
              <w:rPr>
                <w:rFonts w:ascii="Arial" w:hAnsi="Arial"/>
                <w:b/>
                <w:bCs/>
                <w:noProof w:val="0"/>
                <w:rtl/>
              </w:rPr>
            </w:pPr>
          </w:p>
          <w:p w:rsidR="0094424E" w:rsidRPr="00365D11" w:rsidRDefault="007C2453" w:rsidP="00365D11">
            <w:pPr>
              <w:suppressLineNumbers/>
              <w:rPr>
                <w:b/>
                <w:bCs/>
                <w:noProof w:val="0"/>
              </w:rPr>
            </w:pPr>
            <w:r w:rsidRPr="00365D11">
              <w:rPr>
                <w:rFonts w:ascii="Arial" w:hAnsi="Arial" w:hint="cs"/>
                <w:b/>
                <w:bCs/>
                <w:noProof w:val="0"/>
                <w:rtl/>
              </w:rPr>
              <w:t xml:space="preserve"> </w:t>
            </w:r>
            <w:sdt>
              <w:sdtPr>
                <w:rPr>
                  <w:rFonts w:ascii="Arial" w:hAnsi="Arial" w:hint="cs"/>
                  <w:b/>
                  <w:bCs/>
                  <w:noProof w:val="0"/>
                  <w:rtl/>
                </w:rPr>
                <w:alias w:val="3151"/>
                <w:tag w:val="3151"/>
                <w:id w:val="1398553265"/>
                <w:placeholder>
                  <w:docPart w:val="7D8E46D2581B4CD9ACC623ACA7D52F75"/>
                </w:placeholder>
                <w:text w:multiLine="1"/>
              </w:sdtPr>
              <w:sdtEndPr/>
              <w:sdtContent>
                <w:r w:rsidR="00365D11" w:rsidRPr="00365D11">
                  <w:rPr>
                    <w:rFonts w:ascii="Arial" w:hAnsi="Arial" w:hint="cs"/>
                    <w:b/>
                    <w:bCs/>
                    <w:noProof w:val="0"/>
                    <w:rtl/>
                  </w:rPr>
                  <w:t>פלוני</w:t>
                </w:r>
                <w:r w:rsidR="00365D11" w:rsidRPr="00365D11">
                  <w:rPr>
                    <w:rFonts w:ascii="Arial" w:hAnsi="Arial"/>
                    <w:b/>
                    <w:bCs/>
                    <w:noProof w:val="0"/>
                    <w:rtl/>
                  </w:rPr>
                  <w:br/>
                </w:r>
                <w:r w:rsidR="00365D11" w:rsidRPr="00365D11">
                  <w:rPr>
                    <w:rFonts w:ascii="Arial" w:hAnsi="Arial" w:hint="cs"/>
                    <w:b/>
                    <w:bCs/>
                    <w:noProof w:val="0"/>
                    <w:rtl/>
                  </w:rPr>
                  <w:t>ע"י ב"כ עו"ד זאב וולף ו/או עו"ד יהודה שושן</w:t>
                </w:r>
              </w:sdtContent>
            </w:sdt>
          </w:p>
        </w:tc>
      </w:tr>
      <w:tr w:rsidR="0094424E" w:rsidRPr="00365D11">
        <w:trPr>
          <w:jc w:val="center"/>
        </w:trPr>
        <w:tc>
          <w:tcPr>
            <w:tcW w:w="8820" w:type="dxa"/>
            <w:gridSpan w:val="3"/>
          </w:tcPr>
          <w:p w:rsidR="0094424E" w:rsidRPr="00365D11" w:rsidRDefault="0094424E" w:rsidP="00D44968">
            <w:pPr>
              <w:suppressLineNumbers/>
              <w:rPr>
                <w:rFonts w:ascii="Arial" w:hAnsi="Arial"/>
                <w:b/>
                <w:bCs/>
                <w:noProof w:val="0"/>
                <w:rtl/>
              </w:rPr>
            </w:pPr>
          </w:p>
          <w:p w:rsidR="0094424E" w:rsidRPr="00365D11" w:rsidRDefault="0094424E" w:rsidP="00D44968">
            <w:pPr>
              <w:suppressLineNumbers/>
              <w:jc w:val="center"/>
              <w:rPr>
                <w:rFonts w:ascii="Arial" w:hAnsi="Arial"/>
                <w:b/>
                <w:bCs/>
                <w:noProof w:val="0"/>
                <w:rtl/>
              </w:rPr>
            </w:pPr>
            <w:r w:rsidRPr="00365D11">
              <w:rPr>
                <w:rFonts w:ascii="Arial" w:hAnsi="Arial"/>
                <w:b/>
                <w:bCs/>
                <w:noProof w:val="0"/>
                <w:rtl/>
              </w:rPr>
              <w:t>נגד</w:t>
            </w:r>
          </w:p>
          <w:p w:rsidR="0094424E" w:rsidRPr="00365D11" w:rsidRDefault="0094424E" w:rsidP="00D44968">
            <w:pPr>
              <w:suppressLineNumbers/>
              <w:rPr>
                <w:rFonts w:ascii="Arial" w:hAnsi="Arial"/>
                <w:b/>
                <w:bCs/>
                <w:noProof w:val="0"/>
              </w:rPr>
            </w:pPr>
          </w:p>
        </w:tc>
      </w:tr>
      <w:tr w:rsidR="0094424E" w:rsidRPr="00365D11" w:rsidTr="009E461A">
        <w:trPr>
          <w:jc w:val="center"/>
        </w:trPr>
        <w:tc>
          <w:tcPr>
            <w:tcW w:w="3249" w:type="dxa"/>
            <w:gridSpan w:val="2"/>
          </w:tcPr>
          <w:p w:rsidR="0094424E" w:rsidRPr="00365D11" w:rsidRDefault="0034759A" w:rsidP="009E461A">
            <w:pPr>
              <w:suppressLineNumbers/>
              <w:rPr>
                <w:rFonts w:ascii="Arial" w:hAnsi="Arial"/>
                <w:b/>
                <w:bCs/>
                <w:noProof w:val="0"/>
              </w:rPr>
            </w:pPr>
            <w:sdt>
              <w:sdtPr>
                <w:rPr>
                  <w:rtl/>
                </w:rPr>
                <w:alias w:val="1184"/>
                <w:tag w:val="1184"/>
                <w:id w:val="-340621022"/>
                <w:text w:multiLine="1"/>
              </w:sdtPr>
              <w:sdtEndPr/>
              <w:sdtContent>
                <w:r w:rsidR="00365D11" w:rsidRPr="00365D11">
                  <w:rPr>
                    <w:rFonts w:ascii="Arial" w:hAnsi="Arial" w:hint="cs"/>
                    <w:b/>
                    <w:bCs/>
                    <w:noProof w:val="0"/>
                    <w:rtl/>
                  </w:rPr>
                  <w:t>ה</w:t>
                </w:r>
                <w:r w:rsidR="006D4FF3" w:rsidRPr="00365D11">
                  <w:rPr>
                    <w:rFonts w:ascii="Arial" w:hAnsi="Arial"/>
                    <w:b/>
                    <w:bCs/>
                    <w:noProof w:val="0"/>
                    <w:rtl/>
                  </w:rPr>
                  <w:t>נתבעים</w:t>
                </w:r>
              </w:sdtContent>
            </w:sdt>
          </w:p>
        </w:tc>
        <w:tc>
          <w:tcPr>
            <w:tcW w:w="5571" w:type="dxa"/>
          </w:tcPr>
          <w:p w:rsidR="00CF6BB7" w:rsidRPr="00365D11" w:rsidRDefault="0034759A" w:rsidP="007C2453">
            <w:pPr>
              <w:suppressLineNumbers/>
              <w:rPr>
                <w:rtl/>
              </w:rPr>
            </w:pPr>
            <w:sdt>
              <w:sdtPr>
                <w:rPr>
                  <w:rtl/>
                </w:rPr>
                <w:alias w:val="1571"/>
                <w:tag w:val="1571"/>
                <w:id w:val="1028836282"/>
                <w:text w:multiLine="1"/>
              </w:sdtPr>
              <w:sdtEndPr/>
              <w:sdtContent>
                <w:r w:rsidR="006D4FF3" w:rsidRPr="00365D11">
                  <w:rPr>
                    <w:rFonts w:ascii="Arial" w:hAnsi="Arial"/>
                    <w:b/>
                    <w:bCs/>
                    <w:noProof w:val="0"/>
                    <w:rtl/>
                  </w:rPr>
                  <w:t>1</w:t>
                </w:r>
              </w:sdtContent>
            </w:sdt>
            <w:r w:rsidR="0094424E" w:rsidRPr="00365D11">
              <w:rPr>
                <w:rFonts w:ascii="Arial" w:hAnsi="Arial"/>
                <w:b/>
                <w:bCs/>
                <w:noProof w:val="0"/>
                <w:rtl/>
              </w:rPr>
              <w:t>.</w:t>
            </w:r>
            <w:r w:rsidR="007C2453" w:rsidRPr="00365D11">
              <w:rPr>
                <w:rFonts w:ascii="Arial" w:hAnsi="Arial" w:hint="cs"/>
                <w:b/>
                <w:bCs/>
                <w:noProof w:val="0"/>
                <w:rtl/>
              </w:rPr>
              <w:t xml:space="preserve"> </w:t>
            </w:r>
            <w:sdt>
              <w:sdtPr>
                <w:rPr>
                  <w:rFonts w:ascii="Arial" w:hAnsi="Arial" w:hint="cs"/>
                  <w:b/>
                  <w:bCs/>
                  <w:noProof w:val="0"/>
                  <w:rtl/>
                </w:rPr>
                <w:alias w:val="3152"/>
                <w:tag w:val="3152"/>
                <w:id w:val="1920052440"/>
                <w:placeholder>
                  <w:docPart w:val="C3B0FBA23B684176B12DDEEA2C39785F"/>
                </w:placeholder>
                <w:text w:multiLine="1"/>
              </w:sdtPr>
              <w:sdtEndPr/>
              <w:sdtContent>
                <w:r w:rsidR="006D4FF3" w:rsidRPr="00365D11">
                  <w:rPr>
                    <w:rFonts w:ascii="Arial" w:hAnsi="Arial" w:hint="eastAsia"/>
                    <w:b/>
                    <w:bCs/>
                    <w:noProof w:val="0"/>
                    <w:rtl/>
                  </w:rPr>
                  <w:t>משטרת ישראל</w:t>
                </w:r>
              </w:sdtContent>
            </w:sdt>
          </w:p>
          <w:p w:rsidR="00CF6BB7" w:rsidRPr="00365D11" w:rsidRDefault="0034759A" w:rsidP="007C2453">
            <w:pPr>
              <w:suppressLineNumbers/>
              <w:rPr>
                <w:rtl/>
              </w:rPr>
            </w:pPr>
            <w:sdt>
              <w:sdtPr>
                <w:rPr>
                  <w:rtl/>
                </w:rPr>
                <w:alias w:val="1571"/>
                <w:tag w:val="1571"/>
                <w:id w:val="-1401520774"/>
                <w:text w:multiLine="1"/>
              </w:sdtPr>
              <w:sdtEndPr/>
              <w:sdtContent>
                <w:r w:rsidR="006D4FF3" w:rsidRPr="00365D11">
                  <w:rPr>
                    <w:rFonts w:ascii="Arial" w:hAnsi="Arial"/>
                    <w:b/>
                    <w:bCs/>
                    <w:noProof w:val="0"/>
                    <w:rtl/>
                  </w:rPr>
                  <w:t>2</w:t>
                </w:r>
              </w:sdtContent>
            </w:sdt>
            <w:r w:rsidR="0094424E" w:rsidRPr="00365D11">
              <w:rPr>
                <w:rFonts w:ascii="Arial" w:hAnsi="Arial"/>
                <w:b/>
                <w:bCs/>
                <w:noProof w:val="0"/>
                <w:rtl/>
              </w:rPr>
              <w:t>.</w:t>
            </w:r>
            <w:r w:rsidR="007C2453" w:rsidRPr="00365D11">
              <w:rPr>
                <w:rFonts w:ascii="Arial" w:hAnsi="Arial" w:hint="cs"/>
                <w:b/>
                <w:bCs/>
                <w:noProof w:val="0"/>
                <w:rtl/>
              </w:rPr>
              <w:t xml:space="preserve"> </w:t>
            </w:r>
            <w:sdt>
              <w:sdtPr>
                <w:rPr>
                  <w:rFonts w:ascii="Arial" w:hAnsi="Arial" w:hint="cs"/>
                  <w:b/>
                  <w:bCs/>
                  <w:noProof w:val="0"/>
                  <w:rtl/>
                </w:rPr>
                <w:alias w:val="3152"/>
                <w:tag w:val="3152"/>
                <w:id w:val="241298823"/>
                <w:placeholder>
                  <w:docPart w:val="C3B0FBA23B684176B12DDEEA2C39785F"/>
                </w:placeholder>
                <w:text w:multiLine="1"/>
              </w:sdtPr>
              <w:sdtEndPr/>
              <w:sdtContent>
                <w:r w:rsidR="00365D11" w:rsidRPr="00365D11">
                  <w:rPr>
                    <w:rFonts w:ascii="Arial" w:hAnsi="Arial" w:hint="eastAsia"/>
                    <w:b/>
                    <w:bCs/>
                    <w:noProof w:val="0"/>
                    <w:rtl/>
                  </w:rPr>
                  <w:t>משרד המ</w:t>
                </w:r>
                <w:r w:rsidR="006D4FF3" w:rsidRPr="00365D11">
                  <w:rPr>
                    <w:rFonts w:ascii="Arial" w:hAnsi="Arial" w:hint="eastAsia"/>
                    <w:b/>
                    <w:bCs/>
                    <w:noProof w:val="0"/>
                    <w:rtl/>
                  </w:rPr>
                  <w:t>שפטים - פרקליטות המדינה</w:t>
                </w:r>
                <w:r w:rsidR="00365D11" w:rsidRPr="00365D11">
                  <w:rPr>
                    <w:rFonts w:ascii="Arial" w:hAnsi="Arial"/>
                    <w:b/>
                    <w:bCs/>
                    <w:noProof w:val="0"/>
                    <w:rtl/>
                  </w:rPr>
                  <w:br/>
                </w:r>
                <w:r w:rsidR="00365D11" w:rsidRPr="00365D11">
                  <w:rPr>
                    <w:rFonts w:ascii="Arial" w:hAnsi="Arial" w:hint="cs"/>
                    <w:b/>
                    <w:bCs/>
                    <w:noProof w:val="0"/>
                    <w:rtl/>
                  </w:rPr>
                  <w:t>ע"י פרקליטות מחוז ירושלים (אזרחי)</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34759A"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34759A"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1F6BAD" w:rsidRDefault="001F6BAD">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bookmarkStart w:id="1" w:name="NGCSBookmark"/>
      <w:bookmarkEnd w:id="1"/>
      <w:r>
        <w:rPr>
          <w:rFonts w:ascii="David" w:hAnsi="David" w:cs="David"/>
          <w:sz w:val="24"/>
          <w:szCs w:val="24"/>
          <w:rtl/>
        </w:rPr>
        <w:t>עסקינן בתביעת נזיקין, שהוגשה נגד המדינה לפיצוי בגין נזקים שנגרמו לתובע כתוצאה מהליך פלילי שננקט כנגדו ואשר בסופו של יום זוכה בגינו. התביעה הוגשה כנגד משטרת ישראל והפרקליטות בטענה לרשלנות בחקירה הפלילית שנוהלה נגדו, בהגשת כתב האישום ובניהול המשפט.</w:t>
      </w:r>
    </w:p>
    <w:p w:rsidR="00365D11" w:rsidRDefault="00365D11" w:rsidP="00365D11">
      <w:pPr>
        <w:spacing w:after="240" w:line="360" w:lineRule="auto"/>
        <w:jc w:val="both"/>
        <w:rPr>
          <w:rFonts w:ascii="David" w:hAnsi="David"/>
          <w:b/>
          <w:bCs/>
          <w:u w:val="double"/>
        </w:rPr>
      </w:pPr>
      <w:r>
        <w:rPr>
          <w:rFonts w:ascii="David" w:hAnsi="David"/>
          <w:b/>
          <w:bCs/>
          <w:u w:val="double"/>
          <w:rtl/>
        </w:rPr>
        <w:t>רקע</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tl/>
        </w:rPr>
      </w:pPr>
      <w:r>
        <w:rPr>
          <w:rFonts w:ascii="David" w:hAnsi="David" w:cs="David"/>
          <w:sz w:val="24"/>
          <w:szCs w:val="24"/>
          <w:rtl/>
        </w:rPr>
        <w:t>ביום 20.04.15 הוארך מעצרו של התובע בגין עבירות אלימות, וביום 22.04.15 הוגש כנגדו כתב אישום המייחס לו ביצוע בצוותא של עבירות של חבלה בכוונה מחמירה וחבלה חמורה בנסיבות מחמירות; בד בבד עם הגשת כתב האישום הוגשה גם בקשה למעצר עד לתום ההליכים.</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כתב האישום, הוגש כנגד התובע וחמישה אחרים, שהינם בני משפחתו. על פי סיפור המקרה קיים סכסוך בין משפחת התובע למשפחה אחרת (להלן: </w:t>
      </w:r>
      <w:r>
        <w:rPr>
          <w:rFonts w:ascii="David" w:hAnsi="David" w:cs="David"/>
          <w:b/>
          <w:bCs/>
          <w:sz w:val="24"/>
          <w:szCs w:val="24"/>
          <w:rtl/>
        </w:rPr>
        <w:t>"המתלוננים</w:t>
      </w:r>
      <w:r>
        <w:rPr>
          <w:rFonts w:ascii="David" w:hAnsi="David" w:cs="David"/>
          <w:sz w:val="24"/>
          <w:szCs w:val="24"/>
          <w:rtl/>
        </w:rPr>
        <w:t xml:space="preserve">") וזאת על רקע מחלוקת בנוגע לתשלום דמי שכירות ולסירובם לפנות נכס השייך למשפחת התובע.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על פי כתב האישום, ביום 02.04.15, נהג התובע בצוותא עם אחרים באלימות חמורה ובאכזריות כלפי המתלוננים. הוא הגיע בריצה בעודו מחזיק מוט ברזל, ויחד עם נאשם אחר אשר החזיק בידו כיסא, הכו בצוותא חדא את אחד מהמתלוננים, בשם נג'אתי (להלן: "</w:t>
      </w:r>
      <w:r>
        <w:rPr>
          <w:rFonts w:ascii="David" w:hAnsi="David" w:cs="David"/>
          <w:b/>
          <w:bCs/>
          <w:sz w:val="24"/>
          <w:szCs w:val="24"/>
          <w:rtl/>
        </w:rPr>
        <w:t>נג'אתי</w:t>
      </w:r>
      <w:r>
        <w:rPr>
          <w:rFonts w:ascii="David" w:hAnsi="David" w:cs="David"/>
          <w:sz w:val="24"/>
          <w:szCs w:val="24"/>
          <w:rtl/>
        </w:rPr>
        <w:t>"), על ראשו בחוזקה בכוונה לגרום לו חבלה חמורה.</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lastRenderedPageBreak/>
        <w:t>התובע נעצר למשך יומיים, ולאחר מכן בית המשפט המחוזי בירושלים הורה על המשך מעצרו עד לתום ההליכים המשפטיים ורק בחלוף 63 ימים, דהיינו ביום 21.06.15, הוא שוחרר למעצר בית בתנאים מגבילים. לאחר שמיעת הראיות בתיק ניתנה הכרעת הדין ביום 26.02.18 בה הורשע התובע בעבירות שיוחסו לו בכתב האישום וביום 20.01.19 ניתן גזר הדין בו הושתו עליו 20 חודשי מאסר בפועל שהחל בריצויים ביום 21.04.19.</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התובע לא השלים עם הגזירה, וערער לבית המשפט העליון, אשר קבע ביום 29.07.19 כדלקמן:</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w:t>
      </w:r>
      <w:r>
        <w:rPr>
          <w:rFonts w:ascii="David" w:hAnsi="David" w:cs="David"/>
          <w:b/>
          <w:bCs/>
          <w:sz w:val="24"/>
          <w:szCs w:val="24"/>
          <w:rtl/>
        </w:rPr>
        <w:t xml:space="preserve">המדינה הסכימה לזכות את המערער 3 </w:t>
      </w:r>
      <w:r>
        <w:rPr>
          <w:rFonts w:ascii="David" w:hAnsi="David" w:cs="David"/>
          <w:sz w:val="24"/>
          <w:szCs w:val="24"/>
          <w:rtl/>
        </w:rPr>
        <w:t xml:space="preserve">[התובע – נ.מ] </w:t>
      </w:r>
      <w:r>
        <w:rPr>
          <w:rFonts w:ascii="David" w:hAnsi="David" w:cs="David"/>
          <w:b/>
          <w:bCs/>
          <w:sz w:val="24"/>
          <w:szCs w:val="24"/>
          <w:rtl/>
        </w:rPr>
        <w:t xml:space="preserve">מהעבירות שבהן הורשע, וחלף זאת להרשיעו בעבירת תקיפה בנסיבות מחמירות בגין חלקו בתקיפה השנייה נגד המשיב  2 </w:t>
      </w:r>
      <w:r>
        <w:rPr>
          <w:rFonts w:ascii="David" w:hAnsi="David" w:cs="David"/>
          <w:sz w:val="24"/>
          <w:szCs w:val="24"/>
          <w:rtl/>
        </w:rPr>
        <w:t>[נג'אתי- נ.מ]</w:t>
      </w:r>
      <w:r>
        <w:rPr>
          <w:rFonts w:ascii="David" w:hAnsi="David" w:cs="David"/>
          <w:b/>
          <w:bCs/>
          <w:sz w:val="24"/>
          <w:szCs w:val="24"/>
          <w:rtl/>
        </w:rPr>
        <w:t xml:space="preserve"> , במסגרת האישום השני. </w:t>
      </w:r>
      <w:r>
        <w:rPr>
          <w:rFonts w:ascii="David" w:hAnsi="David" w:cs="David"/>
          <w:b/>
          <w:bCs/>
          <w:sz w:val="24"/>
          <w:szCs w:val="24"/>
          <w:u w:val="single"/>
          <w:rtl/>
        </w:rPr>
        <w:t>לאחר שצפינו בסרטון שהוא הבסיס לאישום, נחה דעתנו כי אין מקום להרשיעו גם בעבירה זו, ולפיכך הוא מזוכה ממנה</w:t>
      </w:r>
      <w:r>
        <w:rPr>
          <w:rFonts w:ascii="David" w:hAnsi="David" w:cs="David"/>
          <w:b/>
          <w:bCs/>
          <w:sz w:val="24"/>
          <w:szCs w:val="24"/>
          <w:rtl/>
        </w:rPr>
        <w:t>.</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b/>
          <w:bCs/>
          <w:sz w:val="24"/>
          <w:szCs w:val="24"/>
          <w:rtl/>
        </w:rPr>
        <w:t xml:space="preserve">משכך, אנחנו מורים על שחרורו של המערער 3 </w:t>
      </w:r>
      <w:r>
        <w:rPr>
          <w:rFonts w:ascii="David" w:hAnsi="David" w:cs="David"/>
          <w:sz w:val="24"/>
          <w:szCs w:val="24"/>
          <w:rtl/>
        </w:rPr>
        <w:t xml:space="preserve">[התובע – נ.מ] </w:t>
      </w:r>
      <w:r>
        <w:rPr>
          <w:rFonts w:ascii="David" w:hAnsi="David" w:cs="David"/>
          <w:b/>
          <w:bCs/>
          <w:sz w:val="24"/>
          <w:szCs w:val="24"/>
          <w:rtl/>
        </w:rPr>
        <w:t>לאלתר</w:t>
      </w:r>
      <w:r>
        <w:rPr>
          <w:rFonts w:ascii="David" w:hAnsi="David" w:cs="David"/>
          <w:sz w:val="24"/>
          <w:szCs w:val="24"/>
          <w:rtl/>
        </w:rPr>
        <w:t>" (ההדגשה שלי – נ.מ).</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יוצא אפוא כי התובע זוכה מכלל העבירות שיוחסו לו בכתב האישום לאחר שריצה תקופה ארוכה במעצר וכן תקופה נוספת במאסר ממש.  </w:t>
      </w:r>
    </w:p>
    <w:p w:rsidR="00365D11" w:rsidRDefault="00365D11" w:rsidP="00365D11">
      <w:pPr>
        <w:spacing w:after="240" w:line="360" w:lineRule="auto"/>
        <w:jc w:val="both"/>
        <w:rPr>
          <w:rFonts w:ascii="David" w:hAnsi="David"/>
          <w:b/>
          <w:bCs/>
          <w:u w:val="double"/>
          <w:rtl/>
        </w:rPr>
      </w:pPr>
      <w:r>
        <w:rPr>
          <w:rFonts w:ascii="David" w:hAnsi="David"/>
          <w:b/>
          <w:bCs/>
          <w:u w:val="double"/>
          <w:rtl/>
        </w:rPr>
        <w:t>טענות הצדדים בקליפת האגוז</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התובע טוען כי ללא כל עילה מוצדקת הוא ריצה עונש מאסר מאחורי סורג ובריח (מיום 21.04.19 ועד ליום 29.07.19), זאת בנוסף, לתקופת מעצר של 63 ימים (מיום 20.04.15 ועד ליום 21.06.15) וכן 10 חודשים נוספים בהם היה נתון במעצר בית בתנאים מגבילים.</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לטענתו, החל משלב החקירה ולאורך כל ניהול משפטו, הוא טען כי הוא לא הכה בנג'אתי ובטח שלא בראשו, ואף הציג סרטונים עם תיעוד האירוע אשר מצביעים באופן חד משמעי שהוא לא כיוון את המוט שאחז לעבר ראשו של נג'אתי, המוט כלל לא פגע בנג'אתי, ונג'אתי בעצמו לא התלונן שספג מכה כאמור וזאת בנוסף לטענה בגין הגנה עצמית שהעלה התובע ביחס לאירוע כולו.</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 xml:space="preserve">התובע טוען כי חרף התיעוד המצולם, עמדה המדינה, על הגשת כתב אישום כנגדו ובקשה לעוצרו עד לתום ההליכים.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התובע טוען כי בית המשפט המחוזי הרשיע אותו בעבירות חמורות יותר ממה שהמדינה ביקשה. אולם חרף ידיעתה של הנתבעת 2 על הטעויות שנפלו בהכרעת הדין, היא לא העמידה את בית המשפט על טעויות אלו וחלף כך היא קיבעה אותן בטיעוניה לעונש לקביעת מתחם </w:t>
      </w:r>
      <w:r>
        <w:rPr>
          <w:rFonts w:ascii="David" w:hAnsi="David" w:cs="David"/>
          <w:sz w:val="24"/>
          <w:szCs w:val="24"/>
          <w:rtl/>
        </w:rPr>
        <w:lastRenderedPageBreak/>
        <w:t xml:space="preserve">עונש הולם לעבירות חמורות יותר ובבקשתה להטיל עונש חמור יותר על התובע. בנסיבות אלה, לטענת התובע, אין מדובר בהטעיה פאסיבית בלבד, אלא בהטעיה אקטיבית כאשר המדינה ידעה שלא נכון היה לייחס לתובע ולהרשיעו בעבירות החמורות שיוחסו לו בכתב האישום.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התובע מדגיש כי באם הייתה הנתבעת מעמידה את בית המשפט המחוזי על הטעויות שנפלו בהכרעת הדין, ולבטח אם לא הייתה עושה בטעויות אלה שימוש לרעה בטיעוניה לעונש, עונשו של התובע היה קל בהרבה, וככל הנראה לא היה כולל רכיב של מאסר.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התובע מציין כי כבר ביום 02.04.15, היה בידי הנתבעת "סרטון" המתעד את האירוע ואשר במהלך חקירתם הוטח הן בנג'אתי והן בתובע. על הנתבעות היה לבחון זאת בזהירות הנדרשת דבר אשר לא נעשה. לעומת זאת, בית המשפט העליון לאחר צפייה בסרטון הגיע למסקנה כי לא היה מקום להרשיע את התובע.</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מנגד, לטענת הנתבעים דין התביעה להידחות. לטענתם, הלכה היא כי זיכוי בהליך פלילי איננו מצדיק, באופן אוטומטי, חיוב של המדינה בנזיקין. לא היה לטענתם כל מחדל חקירתי או תביעתי אשר יכול היה להביא לזיכויו של התובע, המקים עילה לחיוב המדינה בפיצויים.</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לטענתם, נוכח חומר הראיות שהיה מונח בפניהם במועד הרלוונטי, לא נפל כל פגם בחקירה שהתנהלה בעניינו של התובע ובשיקול הדעת שהביא להגשת כתב האישום.</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עוד נטען כי כבר בעיקרי הטיעון בערעור מטעם המדינה, היא הודיעה כי במהלך הכנת התיק לקראת הדיון בערעור התברר כי נפלו טעויות בהכרעת הדין ועתרה בנסיבות העניין, לזיכויו של התובע מהעבירות בהן הורשע ולהרשעתו בעבירת תקיפה בנסיבות מחמירות שהיא עבירה פחותה בחומרתה מהעבירות שיוחסו לו בכתב האישום.</w:t>
      </w:r>
    </w:p>
    <w:p w:rsidR="00365D11" w:rsidRDefault="00365D11" w:rsidP="00365D11">
      <w:pPr>
        <w:spacing w:after="240" w:line="360" w:lineRule="auto"/>
        <w:jc w:val="both"/>
        <w:rPr>
          <w:rFonts w:ascii="David" w:hAnsi="David"/>
          <w:b/>
          <w:bCs/>
          <w:u w:val="double"/>
        </w:rPr>
      </w:pPr>
      <w:r>
        <w:rPr>
          <w:rFonts w:ascii="David" w:hAnsi="David"/>
          <w:b/>
          <w:bCs/>
          <w:u w:val="double"/>
          <w:rtl/>
        </w:rPr>
        <w:t>דיון והכרעה</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ככלל על מנת להטיל אחריות בנזיקין יש לבחון את התקיימותם של ארבעה רכיבים: האחד, קיומה של חובת זהירות; השני; הפרה של חובת הזהירות, קרי התרשלות; השלישי, קיומו של נזק; והרביעי, זיהוי קשר סיבתי עובדתי ומשפטי – בין ההתנהגות העוולתית לבין הנזק (ראו: ע"א 6970/15 </w:t>
      </w:r>
      <w:r>
        <w:rPr>
          <w:rFonts w:ascii="David" w:hAnsi="David" w:cs="David"/>
          <w:b/>
          <w:bCs/>
          <w:sz w:val="24"/>
          <w:szCs w:val="24"/>
          <w:rtl/>
        </w:rPr>
        <w:t>פלוני נ' בי"ח בני ציון</w:t>
      </w:r>
      <w:r>
        <w:rPr>
          <w:rFonts w:ascii="David" w:hAnsi="David" w:cs="David"/>
          <w:sz w:val="24"/>
          <w:szCs w:val="24"/>
          <w:rtl/>
        </w:rPr>
        <w:t xml:space="preserve"> (פורסם בנבו, 29.11.17)).</w:t>
      </w:r>
    </w:p>
    <w:p w:rsidR="00365D11" w:rsidRDefault="00365D11" w:rsidP="00365D11">
      <w:pPr>
        <w:spacing w:after="240" w:line="360" w:lineRule="auto"/>
        <w:jc w:val="both"/>
        <w:rPr>
          <w:rFonts w:ascii="David" w:hAnsi="David"/>
          <w:b/>
          <w:bCs/>
          <w:u w:val="single"/>
        </w:rPr>
      </w:pPr>
      <w:r>
        <w:rPr>
          <w:rFonts w:ascii="David" w:hAnsi="David"/>
          <w:b/>
          <w:bCs/>
          <w:u w:val="single"/>
          <w:rtl/>
        </w:rPr>
        <w:t>חובת הזהירות</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על מנת להכריע בשאלת האחריות ולבסס חבות בעוולת הרשלנות יש לבחון האם קמה חובת זהירות מושגית וקונקרטית והאם חובה זו הופרה על ידי הנתבעים; אם הופרה חובת זהירות </w:t>
      </w:r>
      <w:r>
        <w:rPr>
          <w:rFonts w:ascii="David" w:hAnsi="David" w:cs="David"/>
          <w:sz w:val="24"/>
          <w:szCs w:val="24"/>
          <w:rtl/>
        </w:rPr>
        <w:lastRenderedPageBreak/>
        <w:t xml:space="preserve">זו תבחן השאלה האם הפרת החובה גרמה לנזק (ראו: ע"א 145/80 </w:t>
      </w:r>
      <w:r>
        <w:rPr>
          <w:rFonts w:ascii="David" w:hAnsi="David" w:cs="David"/>
          <w:b/>
          <w:bCs/>
          <w:sz w:val="24"/>
          <w:szCs w:val="24"/>
          <w:rtl/>
        </w:rPr>
        <w:t>ועקנין נ' המועצה המקומית בית שמש</w:t>
      </w:r>
      <w:r>
        <w:rPr>
          <w:rFonts w:ascii="David" w:hAnsi="David" w:cs="David"/>
          <w:sz w:val="24"/>
          <w:szCs w:val="24"/>
          <w:rtl/>
        </w:rPr>
        <w:t>, פד"י לז(1) 113) (להלן: "</w:t>
      </w:r>
      <w:r>
        <w:rPr>
          <w:rFonts w:ascii="David" w:hAnsi="David" w:cs="David"/>
          <w:b/>
          <w:bCs/>
          <w:sz w:val="24"/>
          <w:szCs w:val="24"/>
          <w:rtl/>
        </w:rPr>
        <w:t>פרשת ועקנין</w:t>
      </w:r>
      <w:r>
        <w:rPr>
          <w:rFonts w:ascii="David" w:hAnsi="David" w:cs="David"/>
          <w:sz w:val="24"/>
          <w:szCs w:val="24"/>
          <w:rtl/>
        </w:rPr>
        <w:t>")).</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חובת הזהירות המושגית וחובת הזהירות הקונקרטית- נבחנים על פי מבחן הצפיות, הכולל הן צפיות טכנית (היכולת לצפות) והן צפיות נורמטיבית (הצורך לצפות) (ראו: ע"א 8146/13 </w:t>
      </w:r>
      <w:r>
        <w:rPr>
          <w:rFonts w:ascii="David" w:hAnsi="David" w:cs="David"/>
          <w:b/>
          <w:bCs/>
          <w:sz w:val="24"/>
          <w:szCs w:val="24"/>
          <w:rtl/>
        </w:rPr>
        <w:t xml:space="preserve">ד"ר סולימאן ג'ושה נ' בית החולים אלדג'אני (בפירוק) </w:t>
      </w:r>
      <w:r>
        <w:rPr>
          <w:rFonts w:ascii="David" w:hAnsi="David" w:cs="David"/>
          <w:sz w:val="24"/>
          <w:szCs w:val="24"/>
          <w:rtl/>
        </w:rPr>
        <w:t>(פורסם בנבו, 29.11.17)).</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שאלת קיומה של </w:t>
      </w:r>
      <w:r>
        <w:rPr>
          <w:rFonts w:ascii="David" w:hAnsi="David" w:cs="David"/>
          <w:sz w:val="24"/>
          <w:szCs w:val="24"/>
          <w:u w:val="single"/>
          <w:rtl/>
        </w:rPr>
        <w:t>חובת זהירות מושגית</w:t>
      </w:r>
      <w:r>
        <w:rPr>
          <w:rFonts w:ascii="David" w:hAnsi="David" w:cs="David"/>
          <w:sz w:val="24"/>
          <w:szCs w:val="24"/>
          <w:rtl/>
        </w:rPr>
        <w:t xml:space="preserve"> מתמודדת עם שאלת היקף האחריות ברשלנות. השאלה היא אבסטרקטית. היא מנותקת מעובדותיו הקונקרטיות של אירוע ספציפי. היא באה להשיב לנו על השאלה האם מן הראוי להחיל את דיני הרשלנות ביחסים בין סוג מסוים של מזיקים לבין סוג מסוים של ניזוקים לעניין סוג מסוים של נזקים ולסוג מסוים של פעילות (ראו: ע"א 4025/91 </w:t>
      </w:r>
      <w:r>
        <w:rPr>
          <w:rFonts w:ascii="David" w:hAnsi="David" w:cs="David"/>
          <w:b/>
          <w:bCs/>
          <w:sz w:val="24"/>
          <w:szCs w:val="24"/>
          <w:rtl/>
        </w:rPr>
        <w:t>יצחק צבי נ' ד"ר קרול</w:t>
      </w:r>
      <w:r>
        <w:rPr>
          <w:rFonts w:ascii="David" w:hAnsi="David" w:cs="David"/>
          <w:sz w:val="24"/>
          <w:szCs w:val="24"/>
          <w:rtl/>
        </w:rPr>
        <w:t xml:space="preserve"> פ"ד נ(3) 784).</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על המשטרה והפרקליטות חלה חובת זהירות מושגית וזאת לנהל חקירה פלילית ולהביא חשודים למשפט תוך נקיטת אמצעי זהירות סבירים למניעת הליכי-שווא כנגד חפים מפשע. בדרך פעולתן של רשויות אכיפת החוק נדרש איזון בין החובה להבטיח את קיום הנורמות הפליליות לצורך שמירה על הסדר הציבורי והביטחון האישי, לבין הצורך להקפיד על שימוש זהיר, מידתי וסביר בכוחותיהן לשם הגנה על זכויות הפרט הנתון בהליך פלילי.</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u w:val="single"/>
          <w:rtl/>
        </w:rPr>
        <w:t>חובת זהירות קונקרטית</w:t>
      </w:r>
      <w:r>
        <w:rPr>
          <w:rFonts w:ascii="David" w:hAnsi="David" w:cs="David"/>
          <w:sz w:val="24"/>
          <w:szCs w:val="24"/>
          <w:rtl/>
        </w:rPr>
        <w:t xml:space="preserve"> בוחנת את המקרה הניצב בפנינו ועיקרה בשאלה האם בנסיבות המקרה, המזיק הספציפי צריך היה לצפות את קיומו של הסיכון הספציפי לניזוק הספציפי ביחס לפעילות הספציפית. כלומר, על בית המשפט להתחשב בעובדותיו המיוחדות של המקרה הספציפי.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במקרה דנן, חלה על רשויות האכיפה, המשטרה והפרקליטות, חובת זהירות קונקרטית בדרך ניהול ההליך הפלילי. על רשויות אכיפת החוק חלה חובה קונקרטית להבטיח כי החקירה הפלילית, ההחלטה על העמדה לדין, וניהול כל שלבי המשפט ייעשו באחריות ובמקצועיות, כפי שמערכות חקירה ותביעה סבירות נדרשות לנהלם (ראו: ע"א 3580/06 </w:t>
      </w:r>
      <w:r>
        <w:rPr>
          <w:rFonts w:ascii="David" w:hAnsi="David" w:cs="David"/>
          <w:b/>
          <w:bCs/>
          <w:sz w:val="24"/>
          <w:szCs w:val="24"/>
          <w:rtl/>
        </w:rPr>
        <w:t xml:space="preserve">עזבון המנוח חגי יוסף ז"ל נ' מדינת ישראל </w:t>
      </w:r>
      <w:r>
        <w:rPr>
          <w:rFonts w:ascii="David" w:hAnsi="David" w:cs="David"/>
          <w:sz w:val="24"/>
          <w:szCs w:val="24"/>
          <w:rtl/>
        </w:rPr>
        <w:t>( פורסם בנבו, 21.03.11) (להלן: "</w:t>
      </w:r>
      <w:r>
        <w:rPr>
          <w:rFonts w:ascii="David" w:hAnsi="David" w:cs="David"/>
          <w:b/>
          <w:bCs/>
          <w:sz w:val="24"/>
          <w:szCs w:val="24"/>
          <w:rtl/>
        </w:rPr>
        <w:t>עניין עזבון המנוח חגי יוסף</w:t>
      </w:r>
      <w:r>
        <w:rPr>
          <w:rFonts w:ascii="David" w:hAnsi="David" w:cs="David"/>
          <w:sz w:val="24"/>
          <w:szCs w:val="24"/>
          <w:rtl/>
        </w:rPr>
        <w:t>").</w:t>
      </w:r>
    </w:p>
    <w:p w:rsidR="00365D11" w:rsidRDefault="00365D11" w:rsidP="00365D11">
      <w:pPr>
        <w:spacing w:after="240" w:line="360" w:lineRule="auto"/>
        <w:jc w:val="both"/>
        <w:rPr>
          <w:rFonts w:ascii="David" w:hAnsi="David"/>
          <w:b/>
          <w:bCs/>
          <w:u w:val="single"/>
        </w:rPr>
      </w:pPr>
      <w:r>
        <w:rPr>
          <w:rFonts w:ascii="David" w:hAnsi="David"/>
          <w:b/>
          <w:bCs/>
          <w:u w:val="single"/>
          <w:rtl/>
        </w:rPr>
        <w:t>אחריות המדינה בנזיקין</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אחריות המדינה ורשויותיה בנזיקין כלפי האזרח הוסדרה הן בפקודת הנזיקין [נוסח חדש] והן בחוק הנזיקים האזרחיים (אחריות המדינה), התשי"ב- 1952 (להלן: "</w:t>
      </w:r>
      <w:r>
        <w:rPr>
          <w:rFonts w:ascii="David" w:hAnsi="David" w:cs="David"/>
          <w:b/>
          <w:bCs/>
          <w:sz w:val="24"/>
          <w:szCs w:val="24"/>
          <w:rtl/>
        </w:rPr>
        <w:t>חוק הנזיקים האזרחיים</w:t>
      </w:r>
      <w:r>
        <w:rPr>
          <w:rFonts w:ascii="David" w:hAnsi="David" w:cs="David"/>
          <w:sz w:val="24"/>
          <w:szCs w:val="24"/>
          <w:rtl/>
        </w:rPr>
        <w:t>").</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lastRenderedPageBreak/>
        <w:t xml:space="preserve">סעיף 2 לחוק הנזיקים האזרחיים, קובע כדלקמן: </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w:t>
      </w:r>
      <w:r>
        <w:rPr>
          <w:rFonts w:ascii="David" w:hAnsi="David" w:cs="David"/>
          <w:b/>
          <w:bCs/>
          <w:sz w:val="24"/>
          <w:szCs w:val="24"/>
          <w:rtl/>
        </w:rPr>
        <w:t>דין המדינה, לענין אחריות בנזיקים, כדין כל גוף מואגד, פרט לאמור להלן בחוק זה</w:t>
      </w:r>
      <w:r>
        <w:rPr>
          <w:rFonts w:ascii="David" w:hAnsi="David" w:cs="David"/>
          <w:sz w:val="24"/>
          <w:szCs w:val="24"/>
          <w:rtl/>
        </w:rPr>
        <w:t>".</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לאמור, המחוקק השווה את דין אחריות המדינה בנזיקין לדין אחריות אדם פרטי בנזיקין. כך שעוולת הרשלנות חלה על הפרט ועל הרשות הציבורית כאחד.</w:t>
      </w:r>
    </w:p>
    <w:p w:rsidR="00365D11" w:rsidRDefault="00365D11" w:rsidP="00D26E2E">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המחוקק אמנם העניק למדינה פטור מאחריות בשל מעשה שנעשה בתחום הרשאה חוקית</w:t>
      </w:r>
      <w:r w:rsidR="00D26E2E">
        <w:rPr>
          <w:rFonts w:ascii="David" w:hAnsi="David" w:cs="David" w:hint="cs"/>
          <w:sz w:val="24"/>
          <w:szCs w:val="24"/>
          <w:rtl/>
        </w:rPr>
        <w:t xml:space="preserve">, </w:t>
      </w:r>
      <w:r>
        <w:rPr>
          <w:rFonts w:ascii="David" w:hAnsi="David" w:cs="David"/>
          <w:sz w:val="24"/>
          <w:szCs w:val="24"/>
          <w:rtl/>
        </w:rPr>
        <w:t>אולם הוא החריג באופן מפורש פטור זה מאחריות מעוולת הרשלנות. כך נקבע בסעיף 3 לחוק:</w:t>
      </w:r>
    </w:p>
    <w:p w:rsidR="00365D11" w:rsidRDefault="00365D11" w:rsidP="00365D11">
      <w:pPr>
        <w:pStyle w:val="ad"/>
        <w:spacing w:after="240" w:line="360" w:lineRule="auto"/>
        <w:ind w:left="567"/>
        <w:contextualSpacing w:val="0"/>
        <w:jc w:val="both"/>
        <w:rPr>
          <w:rFonts w:ascii="David" w:hAnsi="David" w:cs="David"/>
          <w:b/>
          <w:bCs/>
          <w:sz w:val="24"/>
          <w:szCs w:val="24"/>
        </w:rPr>
      </w:pPr>
      <w:r>
        <w:rPr>
          <w:rFonts w:ascii="David" w:hAnsi="David" w:cs="David"/>
          <w:b/>
          <w:bCs/>
          <w:sz w:val="24"/>
          <w:szCs w:val="24"/>
          <w:rtl/>
        </w:rPr>
        <w:t>"אין המדינה אחראית בנזיקים על מעשה שנעשה בתחום הרשאה חוקית, מתוך אמונה סבירה ובתום לב בקיומה של הרשאה חוקית; אולם אחראית היא על רשלנות שבמעשה"</w:t>
      </w:r>
      <w:r>
        <w:rPr>
          <w:rFonts w:ascii="David" w:hAnsi="David" w:cs="David"/>
          <w:b/>
          <w:bCs/>
          <w:sz w:val="24"/>
          <w:szCs w:val="24"/>
        </w:rPr>
        <w:t>.</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פעולתה של הרשות הציבורית מכוח חובתה הסטטוטורית גם היא אינה שוללת ככזו את חובת הזהירות ברשלנות שהיא עשויה לחוב כלפי אדם שנפגע מהתנהגותה. קיומה של סמכות סטטוטורית הנתונה לרשות הציבורית לא רק שאינה מעניקה חסינות או שוללת את אחריותה האזרחית, אלא עשויה דווקא לשמש אבן-יסוד לקיומה של חובת זהירות מושגית על הרשות.</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 xml:space="preserve">נפסק לא אחת כי הן המשטרה והן הפרקליטות אינן נהנות מפטור גורף לעניין התנהלות רשלנית בחקירה ובהגשת כתב אישום (ראו: ע"א 3580/06 </w:t>
      </w:r>
      <w:r>
        <w:rPr>
          <w:rFonts w:ascii="David" w:hAnsi="David" w:cs="David"/>
          <w:b/>
          <w:bCs/>
          <w:sz w:val="24"/>
          <w:szCs w:val="24"/>
          <w:rtl/>
        </w:rPr>
        <w:t>עזבון המנוח חגי יוסף ז"ל נ' מדינת ישראל</w:t>
      </w:r>
      <w:r>
        <w:rPr>
          <w:rFonts w:ascii="David" w:hAnsi="David" w:cs="David"/>
          <w:sz w:val="24"/>
          <w:szCs w:val="24"/>
          <w:rtl/>
        </w:rPr>
        <w:t xml:space="preserve"> (פורסם בנבו, 21.03.11) וראו גם: ע"א 1678/01 </w:t>
      </w:r>
      <w:r>
        <w:rPr>
          <w:rFonts w:ascii="David" w:hAnsi="David" w:cs="David"/>
          <w:b/>
          <w:bCs/>
          <w:sz w:val="24"/>
          <w:szCs w:val="24"/>
          <w:rtl/>
        </w:rPr>
        <w:t>מדינת ישראל נ' וייס</w:t>
      </w:r>
      <w:r>
        <w:rPr>
          <w:rFonts w:ascii="David" w:hAnsi="David" w:cs="David"/>
          <w:sz w:val="24"/>
          <w:szCs w:val="24"/>
          <w:rtl/>
        </w:rPr>
        <w:t xml:space="preserve">, פ"ד נח(5) 167; ע"א 429/82 </w:t>
      </w:r>
      <w:r>
        <w:rPr>
          <w:rFonts w:ascii="David" w:hAnsi="David" w:cs="David"/>
          <w:b/>
          <w:bCs/>
          <w:sz w:val="24"/>
          <w:szCs w:val="24"/>
          <w:rtl/>
        </w:rPr>
        <w:t>מדינת ישראל נ' סוהן</w:t>
      </w:r>
      <w:r>
        <w:rPr>
          <w:rFonts w:ascii="David" w:hAnsi="David" w:cs="David"/>
          <w:sz w:val="24"/>
          <w:szCs w:val="24"/>
          <w:rtl/>
        </w:rPr>
        <w:t xml:space="preserve">, מב(3) 733; ע"א 3580/06 </w:t>
      </w:r>
      <w:r>
        <w:rPr>
          <w:rFonts w:ascii="David" w:hAnsi="David" w:cs="David"/>
          <w:b/>
          <w:bCs/>
          <w:sz w:val="24"/>
          <w:szCs w:val="24"/>
          <w:rtl/>
        </w:rPr>
        <w:t xml:space="preserve">עזבון המנוח חגי יוסף ז"ל נ' מדינת ישראל </w:t>
      </w:r>
      <w:r>
        <w:rPr>
          <w:rFonts w:ascii="David" w:hAnsi="David" w:cs="David"/>
          <w:sz w:val="24"/>
          <w:szCs w:val="24"/>
          <w:rtl/>
        </w:rPr>
        <w:t xml:space="preserve">(פורסם בנבו, 21.03.11); ע"א 12104-04-19 </w:t>
      </w:r>
      <w:r>
        <w:rPr>
          <w:rFonts w:ascii="David" w:hAnsi="David" w:cs="David"/>
          <w:b/>
          <w:bCs/>
          <w:sz w:val="24"/>
          <w:szCs w:val="24"/>
          <w:rtl/>
        </w:rPr>
        <w:t>בימרו נ' המחלקה לחקירת שוטרים</w:t>
      </w:r>
      <w:r>
        <w:rPr>
          <w:rFonts w:ascii="David" w:hAnsi="David" w:cs="David"/>
          <w:sz w:val="24"/>
          <w:szCs w:val="24"/>
          <w:rtl/>
        </w:rPr>
        <w:t xml:space="preserve"> (פורסם בנבו, 24.09.19)).</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כשם שחובתה של הרשות המנהלית להעמיד לנגד עיניה, בעת גיבוש החלטתה, את כל השיקולים הנוגעים לעניין על פי אמות המידה המקובלות לפי עקרונות המינהל התקין, כך דינו של שוטר או פרקליט (ראו: בג"ץ 389/80 </w:t>
      </w:r>
      <w:r>
        <w:rPr>
          <w:rFonts w:ascii="David" w:hAnsi="David" w:cs="David"/>
          <w:b/>
          <w:bCs/>
          <w:sz w:val="24"/>
          <w:szCs w:val="24"/>
          <w:rtl/>
        </w:rPr>
        <w:t xml:space="preserve">דפי זהב בע"מ נ' רשות השידור, </w:t>
      </w:r>
      <w:r>
        <w:rPr>
          <w:rFonts w:ascii="David" w:hAnsi="David" w:cs="David"/>
          <w:sz w:val="24"/>
          <w:szCs w:val="24"/>
          <w:rtl/>
        </w:rPr>
        <w:t>פ"ד לה(1) 421).</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 xml:space="preserve">לעניין הפעלת סמכויותיו של התובע מטעם המדינה נקבע בפסיקה כי זו כפופה לשיקולים מסוגים שונים. מצד אחד, הוא משמש חוליה מרכזית במערכת אכיפת החוק, בליווי החקירה הפלילית ובניהול ההליך הפלילי מטעם המדינה. מצד שני, בתור נציגה של המדינה, עליו </w:t>
      </w:r>
      <w:r>
        <w:rPr>
          <w:rFonts w:ascii="David" w:hAnsi="David" w:cs="David"/>
          <w:sz w:val="24"/>
          <w:szCs w:val="24"/>
          <w:rtl/>
        </w:rPr>
        <w:lastRenderedPageBreak/>
        <w:t>להקפיד הקפדה יתירה על זכויותיו של הפרט הנתון להליך הפלילי, ולהגן מפני פגיעה בלתי מידתית בזכויותיו (ראו:</w:t>
      </w:r>
      <w:r>
        <w:rPr>
          <w:rFonts w:ascii="David" w:hAnsi="David" w:cs="David"/>
          <w:b/>
          <w:bCs/>
          <w:sz w:val="24"/>
          <w:szCs w:val="24"/>
          <w:rtl/>
        </w:rPr>
        <w:t xml:space="preserve"> </w:t>
      </w:r>
      <w:r>
        <w:rPr>
          <w:rFonts w:ascii="David" w:hAnsi="David" w:cs="David"/>
          <w:sz w:val="24"/>
          <w:szCs w:val="24"/>
          <w:rtl/>
        </w:rPr>
        <w:t xml:space="preserve">עניין עזבון המנוח חגי יוסף). </w:t>
      </w:r>
    </w:p>
    <w:p w:rsidR="00365D11" w:rsidRDefault="00365D11" w:rsidP="00365D11">
      <w:pPr>
        <w:pStyle w:val="ad"/>
        <w:spacing w:after="240" w:line="360" w:lineRule="auto"/>
        <w:ind w:left="567"/>
        <w:contextualSpacing w:val="0"/>
        <w:jc w:val="both"/>
        <w:rPr>
          <w:rFonts w:ascii="David" w:hAnsi="David" w:cs="David"/>
          <w:sz w:val="24"/>
          <w:szCs w:val="24"/>
          <w:rtl/>
        </w:rPr>
      </w:pPr>
      <w:r>
        <w:rPr>
          <w:rFonts w:ascii="David" w:hAnsi="David" w:cs="David"/>
          <w:sz w:val="24"/>
          <w:szCs w:val="24"/>
          <w:rtl/>
        </w:rPr>
        <w:t xml:space="preserve">בית המשפט קבע כי </w:t>
      </w:r>
      <w:r>
        <w:rPr>
          <w:rFonts w:ascii="David" w:hAnsi="David" w:cs="David"/>
          <w:b/>
          <w:bCs/>
          <w:sz w:val="24"/>
          <w:szCs w:val="24"/>
          <w:rtl/>
        </w:rPr>
        <w:t>"ביצוע תפקידי אכיפת החוק על-ידי התביעה כפוף, אפוא, לחובת הקפדה מוגברת על זכויות הנחקר או הנאשם, ובתוך כך, לנקיטת זהירות מיוחדת מפני פעולות להפללת אדם שלא היה מעורב בפלילים. במסגרת זו, חלה על רשויות התביעה חובה לבחון בקפדנות ראיות אשר נאספו במהלך חקירה כדי לקבוע אם יש מקום לשלילת חירותו של האדם במעצר; אם יש מקום להגשת אישום נגדו; ואם ראוי לנהל הליך פלילי בבית משפט נגדו</w:t>
      </w:r>
      <w:r>
        <w:rPr>
          <w:rFonts w:ascii="David" w:hAnsi="David" w:cs="David"/>
          <w:sz w:val="24"/>
          <w:szCs w:val="24"/>
          <w:rtl/>
        </w:rPr>
        <w:t xml:space="preserve"> </w:t>
      </w:r>
      <w:r>
        <w:rPr>
          <w:rFonts w:ascii="David" w:hAnsi="David" w:cs="David"/>
          <w:b/>
          <w:bCs/>
          <w:sz w:val="24"/>
          <w:szCs w:val="24"/>
          <w:rtl/>
        </w:rPr>
        <w:t>.... על רקע הפגיעה החמורה הצפויה לאדם מניהול הליך פלילי נגדו, על התביעה להשתכנע כי חומר הראיות שנאסף מצדיק ניהול משפט נגדו ... היותה של התביעה חלק מרשות אכיפת החוק מטילה עליה חובת זהירות בעלת משקל מיוחד בכל הקשור בניהול הליך פלילי כנגד אדם. המדיניות המשפטית המטילה אחריות על גורמי התביעה הפלילית בגין התרשלותם מתבססת על עיקרון השוויון בפני החוק, ומניעת הפלייה פסולה. היא מניחה קיומו של סטנדרט זהירות שנועד להבטיח הפעלת אמצעים ראויים וסבירים בניהול ההליך הפלילי, ולאזן כראוי בין תכלית אכיפת החוק הפלילי לבין שמירה על זכויות הפרט הנתון בהליך הפלילי</w:t>
      </w:r>
      <w:r>
        <w:rPr>
          <w:rFonts w:ascii="David" w:hAnsi="David" w:cs="David"/>
          <w:sz w:val="24"/>
          <w:szCs w:val="24"/>
          <w:rtl/>
        </w:rPr>
        <w:t>" (ראו:</w:t>
      </w:r>
      <w:r>
        <w:rPr>
          <w:rFonts w:ascii="David" w:hAnsi="David" w:cs="David"/>
          <w:b/>
          <w:bCs/>
          <w:sz w:val="24"/>
          <w:szCs w:val="24"/>
          <w:rtl/>
        </w:rPr>
        <w:t xml:space="preserve"> </w:t>
      </w:r>
      <w:r>
        <w:rPr>
          <w:rFonts w:ascii="David" w:hAnsi="David" w:cs="David"/>
          <w:sz w:val="24"/>
          <w:szCs w:val="24"/>
          <w:rtl/>
        </w:rPr>
        <w:t>עניין עזבון המנוח חגי יוסף).</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כידוע, עם תום החקירה מועבר החומר לתובע, ואם ראה התובע שהועבר אליו חומר החקירה, "</w:t>
      </w:r>
      <w:r>
        <w:rPr>
          <w:rFonts w:ascii="David" w:hAnsi="David" w:cs="David"/>
          <w:b/>
          <w:bCs/>
          <w:sz w:val="24"/>
          <w:szCs w:val="24"/>
          <w:rtl/>
        </w:rPr>
        <w:t>שהראיות מספיקות</w:t>
      </w:r>
      <w:r>
        <w:rPr>
          <w:rFonts w:ascii="David" w:hAnsi="David" w:cs="David"/>
          <w:sz w:val="24"/>
          <w:szCs w:val="24"/>
          <w:rtl/>
        </w:rPr>
        <w:t>" לאישום אדם פלוני אזי ככלל-  יעמידו לדין (ראו: בסעיף 62(א) לחוק סדר הדין הפלילי [נוסח משולב], התשמ"ב - 1982).</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אמנם המחוקק לא פירט אימתי יש לומר שהראיות אכן מספיקות לאישום אולם, נפסק כי המבחן שראוי שתובע ינקוט אותו הוא "</w:t>
      </w:r>
      <w:r>
        <w:rPr>
          <w:rFonts w:ascii="David" w:hAnsi="David" w:cs="David"/>
          <w:b/>
          <w:bCs/>
          <w:sz w:val="24"/>
          <w:szCs w:val="24"/>
          <w:rtl/>
        </w:rPr>
        <w:t>האפשרות הסבירה להרשעה</w:t>
      </w:r>
      <w:r>
        <w:rPr>
          <w:rFonts w:ascii="David" w:hAnsi="David" w:cs="David"/>
          <w:sz w:val="24"/>
          <w:szCs w:val="24"/>
          <w:rtl/>
        </w:rPr>
        <w:t xml:space="preserve">". כלומר, </w:t>
      </w:r>
      <w:r>
        <w:rPr>
          <w:rFonts w:ascii="David" w:hAnsi="David" w:cs="David"/>
          <w:color w:val="000000"/>
          <w:spacing w:val="-8"/>
          <w:sz w:val="24"/>
          <w:szCs w:val="24"/>
          <w:shd w:val="clear" w:color="auto" w:fill="FFFFFF"/>
          <w:rtl/>
        </w:rPr>
        <w:t>קיומו של חומר ראיות, אשר יכול להביא להרשעתו של </w:t>
      </w:r>
      <w:r>
        <w:rPr>
          <w:rFonts w:ascii="David" w:hAnsi="David" w:cs="David"/>
          <w:color w:val="000000"/>
          <w:spacing w:val="-20"/>
          <w:sz w:val="24"/>
          <w:szCs w:val="24"/>
          <w:shd w:val="clear" w:color="auto" w:fill="FFFFFF"/>
          <w:rtl/>
        </w:rPr>
        <w:t>אדם </w:t>
      </w:r>
      <w:r>
        <w:rPr>
          <w:rFonts w:ascii="David" w:hAnsi="David" w:cs="David"/>
          <w:color w:val="000000"/>
          <w:spacing w:val="-8"/>
          <w:sz w:val="24"/>
          <w:szCs w:val="24"/>
          <w:shd w:val="clear" w:color="auto" w:fill="FFFFFF"/>
          <w:rtl/>
        </w:rPr>
        <w:t>בעבירה מסוימת</w:t>
      </w:r>
      <w:r>
        <w:rPr>
          <w:rFonts w:ascii="David" w:hAnsi="David" w:cs="David"/>
          <w:sz w:val="24"/>
          <w:szCs w:val="24"/>
          <w:rtl/>
        </w:rPr>
        <w:t xml:space="preserve"> (ראו: בג"ץ 650/82 </w:t>
      </w:r>
      <w:r>
        <w:rPr>
          <w:rFonts w:ascii="David" w:hAnsi="David" w:cs="David"/>
          <w:b/>
          <w:bCs/>
          <w:sz w:val="24"/>
          <w:szCs w:val="24"/>
          <w:rtl/>
        </w:rPr>
        <w:t>בארי נ' היועץ המשפטי לממשלה</w:t>
      </w:r>
      <w:r>
        <w:rPr>
          <w:rFonts w:ascii="David" w:hAnsi="David" w:cs="David"/>
          <w:sz w:val="24"/>
          <w:szCs w:val="24"/>
          <w:rtl/>
        </w:rPr>
        <w:t xml:space="preserve"> (פורסם בנבו, 20.10.83); בג"ץ 3846/91 </w:t>
      </w:r>
      <w:r>
        <w:rPr>
          <w:rFonts w:ascii="David" w:hAnsi="David" w:cs="David"/>
          <w:b/>
          <w:bCs/>
          <w:sz w:val="24"/>
          <w:szCs w:val="24"/>
          <w:rtl/>
        </w:rPr>
        <w:t>מעוז נ' היועץ המשפטי לממשלה ואח'</w:t>
      </w:r>
      <w:r>
        <w:rPr>
          <w:rFonts w:ascii="David" w:hAnsi="David" w:cs="David"/>
          <w:sz w:val="24"/>
          <w:szCs w:val="24"/>
          <w:rtl/>
        </w:rPr>
        <w:t xml:space="preserve"> (פורסם בנבו, 07.12.92)). </w:t>
      </w:r>
    </w:p>
    <w:p w:rsidR="00365D11" w:rsidRDefault="00365D11" w:rsidP="00365D11">
      <w:pPr>
        <w:pStyle w:val="ad"/>
        <w:spacing w:after="240" w:line="360" w:lineRule="auto"/>
        <w:ind w:left="567"/>
        <w:contextualSpacing w:val="0"/>
        <w:jc w:val="both"/>
        <w:rPr>
          <w:rFonts w:ascii="David" w:hAnsi="David" w:cs="David"/>
          <w:sz w:val="24"/>
          <w:szCs w:val="24"/>
          <w:rtl/>
        </w:rPr>
      </w:pPr>
      <w:r>
        <w:rPr>
          <w:rFonts w:ascii="David" w:hAnsi="David" w:cs="David"/>
          <w:sz w:val="24"/>
          <w:szCs w:val="24"/>
          <w:rtl/>
        </w:rPr>
        <w:t>לעניין שאלת "הראיות המספיקות" להעמדה לדין קבע בית המשפט העליון את הדברים הבאים:</w:t>
      </w:r>
    </w:p>
    <w:p w:rsidR="00365D11" w:rsidRDefault="00365D11" w:rsidP="00365D11">
      <w:pPr>
        <w:pStyle w:val="ad"/>
        <w:spacing w:after="240" w:line="360" w:lineRule="auto"/>
        <w:ind w:left="567"/>
        <w:contextualSpacing w:val="0"/>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חזקה על היועץ המשפטי לממשלה ועל אנשי הפרקליטות, כי החלטה מעין זו מתקבלת לאחר בדיקה מעמיקה ועניינית של כל חומר הראיות ואגב עימות בין הודעות העדים השונים, והערכת מהימנותן הלכאורית ומשקלן היחסי. ודוק: גם אם קיים חומר ראיות לכאורה להגשת כתב-אישום, עדיין יכול היועץ המשפטי להחליט להימנע מהגשתו, אם </w:t>
      </w:r>
      <w:r>
        <w:rPr>
          <w:rFonts w:ascii="David" w:hAnsi="David" w:cs="David"/>
          <w:b/>
          <w:bCs/>
          <w:sz w:val="24"/>
          <w:szCs w:val="24"/>
          <w:rtl/>
        </w:rPr>
        <w:lastRenderedPageBreak/>
        <w:t>סבור הוא שסיכויי ההרשעה על-פי החומר שברשותו מועטים המה...</w:t>
      </w:r>
      <w:r>
        <w:rPr>
          <w:rFonts w:ascii="David" w:hAnsi="David" w:cs="David"/>
          <w:sz w:val="24"/>
          <w:szCs w:val="24"/>
          <w:rtl/>
        </w:rPr>
        <w:t xml:space="preserve">" (ראו: בג"ץ 3425/94 </w:t>
      </w:r>
      <w:r>
        <w:rPr>
          <w:rFonts w:ascii="David" w:hAnsi="David" w:cs="David"/>
          <w:b/>
          <w:bCs/>
          <w:sz w:val="24"/>
          <w:szCs w:val="24"/>
          <w:rtl/>
        </w:rPr>
        <w:t>גנור נ' היועץ המשפטי לממשלה</w:t>
      </w:r>
      <w:r>
        <w:rPr>
          <w:rFonts w:ascii="David" w:hAnsi="David" w:cs="David"/>
          <w:sz w:val="24"/>
          <w:szCs w:val="24"/>
          <w:rtl/>
        </w:rPr>
        <w:t xml:space="preserve"> (פורסם בנבו, 07.08.96).</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לאמור, כתב אישום אמור להיות מוגש באותם מקרים שבהם משוכנע התובע כי קיים סיכוי סביר להרשעה כלומר, שבית המשפט אכן ירשיע את הנאשם. בכך מתקיים איזון ראוי בין הערכים שביסוד מטרותיו של המשפט הפלילי, לבין הערך של מניעת פגיעה שאינה הכרחית בחשוד ובמשפחתו.</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אכן ההחלטה אם להגיש כתב אישום או לא תלויה בשאלה מובהקת של הערכה – עובדתית ומשפטית. הערכת תוצאות ההליך הצפוי, הסיכויים להרשעה, מידת מהימנות הראיות והסיכוי שעל אף קיומן של הראיות לכאורה הנאשם יזוכה. הפעלת מנגנון התביעה בהעדר סיכוי סביר כי אותו פרט יורשע בדין, תגרום לפגיעה קשה באותו נאשם מעצם העמדתו לדין. על כן, נקבע בפסיקה כי "</w:t>
      </w:r>
      <w:r>
        <w:rPr>
          <w:rFonts w:ascii="David" w:hAnsi="David" w:cs="David"/>
          <w:b/>
          <w:bCs/>
          <w:sz w:val="24"/>
          <w:szCs w:val="24"/>
          <w:rtl/>
        </w:rPr>
        <w:t>מעצם טיבה, ייתכנו לגבי החלטה מעין זו עמדות והערכות שונות. בהפעילו את שיקול-דעתו בעניין זה, נשען היועץ המשפטי לממשלה על ידע, על מקצועיות ועל ניסיון, כלים המסייעים בידו להעריך את תוצאות ההליך המשפטי, אם יחליט על קיומו. בזכות כלים אלה העומדים לרשותו נמסרה בידו הסמכות, רבת החשיבות, להחליט על העמדה לדין</w:t>
      </w:r>
      <w:r>
        <w:rPr>
          <w:rFonts w:ascii="David" w:hAnsi="David" w:cs="David"/>
          <w:sz w:val="24"/>
          <w:szCs w:val="24"/>
          <w:rtl/>
        </w:rPr>
        <w:t>" (ראו: עניין ח"כ יהב הנ"ל).</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נטייתו של בית המשפט להתערב בהחלטות היועץ המשפטי לממשלה בנושא זה תהיה מצומצמת ביותר, זאת ככל שאין בהן חריגה קיצונית מן הסביר (בג"צ 8121/99 </w:t>
      </w:r>
      <w:r>
        <w:rPr>
          <w:rFonts w:ascii="David" w:hAnsi="David" w:cs="David"/>
          <w:b/>
          <w:bCs/>
          <w:sz w:val="24"/>
          <w:szCs w:val="24"/>
          <w:rtl/>
        </w:rPr>
        <w:t>האגודה לזכויות הציבור לדעת נ' פרקליטות המדינה</w:t>
      </w:r>
      <w:r>
        <w:rPr>
          <w:rFonts w:ascii="David" w:hAnsi="David" w:cs="David"/>
          <w:sz w:val="24"/>
          <w:szCs w:val="24"/>
          <w:rtl/>
        </w:rPr>
        <w:t xml:space="preserve"> (פורסם בנבו, 27.06.00)).</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ראוי להדגיש כי לא כל זיכוי של בית המשפט משמעו טעות בשיקול הדעת של רשויות החקירה והתביעה, קל וחומר שאין משמעו כי הטעות חורגת ממתחם הסבירות בהפעלת שיקול הדעת ומהווה התרשלות (ראו: ע"א 4371/13 </w:t>
      </w:r>
      <w:r>
        <w:rPr>
          <w:rFonts w:ascii="David" w:hAnsi="David" w:cs="David"/>
          <w:b/>
          <w:bCs/>
          <w:sz w:val="24"/>
          <w:szCs w:val="24"/>
          <w:rtl/>
        </w:rPr>
        <w:t>לסרי נ' משטרת ישראל</w:t>
      </w:r>
      <w:r>
        <w:rPr>
          <w:rFonts w:ascii="David" w:hAnsi="David" w:cs="David"/>
          <w:sz w:val="24"/>
          <w:szCs w:val="24"/>
          <w:rtl/>
        </w:rPr>
        <w:t xml:space="preserve"> (פורסם בנבו, 14.12.14)).</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יש לבחון האם לאור הנתונים שהיו גלויים לעיני החוקרים וידועים בעת ההיא, התעלמות מכיוון חקירה כזה או אחר הייתה בגדר הסביר (ע"א 2979/15 </w:t>
      </w:r>
      <w:r>
        <w:rPr>
          <w:rFonts w:ascii="David" w:hAnsi="David" w:cs="David"/>
          <w:b/>
          <w:bCs/>
          <w:sz w:val="24"/>
          <w:szCs w:val="24"/>
          <w:rtl/>
        </w:rPr>
        <w:t xml:space="preserve">סעד נ' מדינת ישראל </w:t>
      </w:r>
      <w:r>
        <w:rPr>
          <w:rFonts w:ascii="David" w:hAnsi="David" w:cs="David"/>
          <w:sz w:val="24"/>
          <w:szCs w:val="24"/>
          <w:rtl/>
        </w:rPr>
        <w:t>(פורסם בנבו,05.07.17)).</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בהקשר זה אומר כי כלל הוא שאת התנהגות החוקרים ואנשי התביעה בכל שלב משלבי ההליך יש לבחון בזמן אמת – בעת עשייתן של הפעולות ובזמן קבלת ההחלטות. שאלת הפרת חובת הזהירות הקונקרטית שחלה על גורמי החקירה והתביעה נחתכת על פי הנסיבות, התנאים והאפשרויות שהיו קיימים במועד הרלוונטי שבו התנהגות הרשות עומדת למבחן. סבירות ההתנהגות נבחנת על פי מכלול הנתונים ששימשו את הרשות במועד הקובע. אין </w:t>
      </w:r>
      <w:r>
        <w:rPr>
          <w:rFonts w:ascii="David" w:hAnsi="David" w:cs="David"/>
          <w:sz w:val="24"/>
          <w:szCs w:val="24"/>
          <w:rtl/>
        </w:rPr>
        <w:lastRenderedPageBreak/>
        <w:t>בוחנים את ההתנהגות בדרך של "חכמה לאחר מעשה" ויש להתחשב באמצעי החקירה שהיו זמינים במועד הרלוונטי, ולא להקיש מהאמצעים הקיימים היום לעניין האמצעים שנעשה בהם שימוש בעת ההיא, בטרם ההתקדמות הטכנולוגית שחלה בעשורים האחרונים (עניין עזבון המנוח חגי יוסף).</w:t>
      </w:r>
    </w:p>
    <w:p w:rsidR="00365D11" w:rsidRDefault="00365D11" w:rsidP="00365D11">
      <w:pPr>
        <w:spacing w:after="240" w:line="360" w:lineRule="auto"/>
        <w:jc w:val="both"/>
        <w:rPr>
          <w:rFonts w:ascii="David" w:hAnsi="David"/>
        </w:rPr>
      </w:pPr>
      <w:r>
        <w:rPr>
          <w:rFonts w:ascii="David" w:hAnsi="David"/>
          <w:b/>
          <w:bCs/>
          <w:u w:val="single"/>
          <w:rtl/>
        </w:rPr>
        <w:t>מן הכלל אל הפרט</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בענייננו, השאלה הנדרשת היא האם מתקיימים יסודותיה של עוולת הרשלנות ביחס למדינה. לאמור, האם בהינתן חומר הראיות שנאסף על ידי המשטרה בשלב הראשון של החקירה, בהתחשב במהותו ובתוכנו של חומר זה, היה זה סביר מבחינת המשטרה והפרקליטות להעמיד את הנאשם לדין, לנהל את משפטו ולהתנגד לבקשת עיכוב ביצוע העונש.</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במקרה דנן, בחינת התנהלותם של גורמי החקירה והתביעה בשלבים השונים של החקירה וההליכים המשפטיים והעמדתם במבחן הסבירות מביא אותי למסקנה כי אכן רשויות התביעה התרשלו בעניינו של התובע כפי שיוסבר להלן.</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אין חולק כי התובע הורשע בבית המשפט המחוזי. אמנם לכאורה היה בכך בכדי להעיד כי אכן לא מדובר בכתב אישום אשר הוגש ללא תשתית ראייתית, וכי אין המדובר בכתב אישום שתובע סביר לא היה מגישו.</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יחד עם זאת, אין גם חולק כי בית המשפט העליון זיכה את התובע על בסיס אותו סרטון שהיה קיים בחומר הראיות. כלומר, לא מדובר בראיה חדשה או התפתחות שארעה במהלך המשפט אלא בראיה שהייתה ידועה במהלך המשפט. בעניין זה העיד עו"ד שמואל ברזילי אשר ייצג את המדינה מטעם פרקליטות מחוז ירושלים כי לא היו דברים שראה בהם שוני דרמטי (עמ' 14, ש' 1), וכי הסרטונים הם אותם סרטונים שהיו במהלך המשפט (עמ' 14, ש' 4).</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בית המשפט העליון, זיכה את התובע על בסיס אותו סרטון אשר אין חולק כי הוא היווה בסיס לאישום. בהחלטתו לזכות את התובע ולהורות על שחרורו ממאסר ציין בית המשפט העליון כי לאחר צפייה באותו סרטון נחה דעתו כי אין אפילו בסיס להרשעתו של התובע בעבירה פחותה בחומרתה מהעבירה בה הורשע.</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בבחינת השלב הראשון של החקירה והעמדה לדין נשאלת השאלה האם התגבשה תשתית ראייתית אשר הצביעה על סיכוי סביר להרשעת התובע בעבירות שיוחסו לו.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lastRenderedPageBreak/>
        <w:t>אין חולק כי בקשת המעצר וכתב האישום הוגשו על ידי הפרקליטה עו"ד קאסם מטעם הפרקליטות, היא אשר בחנה את חומר הראיות ובידיה התקבלה ההחלטה להעמיד את הנאשם לדין בגין העבירות שיוחסו לו. יחד עם זאת, בחרה הפרקליטות שלא לקרוא לה לעדות והסתפקה בעדותו של עו"ד ברזילי שנכנס לניהול התיק בשלב מאוחר יותר ולא בידיו התקבלה ההחלטה על העמדה לדין.</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 xml:space="preserve">כבר עתה אציין כי ההלכה קובעת כי אי הבאתו של עד רלבנטי למתן עדות, מעוררת, מדרך הטבע, את החשד, כי יש דברים בגו וכי בעל הדין, שנמנע מהבאתו, חושש מעדותו ומחשיפתו לחקירה שכנגד (ע"א 465/88 </w:t>
      </w:r>
      <w:r>
        <w:rPr>
          <w:rFonts w:ascii="David" w:hAnsi="David" w:cs="David"/>
          <w:b/>
          <w:bCs/>
          <w:sz w:val="24"/>
          <w:szCs w:val="24"/>
          <w:rtl/>
        </w:rPr>
        <w:t>הבנק למימון ולסחר בע"מ נ' סלימה מתתיהו</w:t>
      </w:r>
      <w:r>
        <w:rPr>
          <w:rFonts w:ascii="David" w:hAnsi="David" w:cs="David"/>
          <w:sz w:val="24"/>
          <w:szCs w:val="24"/>
          <w:rtl/>
        </w:rPr>
        <w:t xml:space="preserve"> (פורסם בנבו, 12.09.91)).</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עו"ד ברזילי העיד בפניי ברוב הגינותו כי הוא לא יכול לומר בוודאות כי עו"ד קאסם צפתה בסרטונים אלא הוא למד את הדברים מסיכום שהיא ערכה ומצוי בתיק.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בתצהיר עדותו הראשית ציין עו"ד ברזילי כי התיעוד החזותי לימד על נוכחותו של התובע באירוע ועל הסיטואציה בה נצפה </w:t>
      </w:r>
      <w:r>
        <w:rPr>
          <w:rFonts w:ascii="David" w:hAnsi="David" w:cs="David"/>
          <w:sz w:val="24"/>
          <w:szCs w:val="24"/>
          <w:u w:val="single"/>
          <w:rtl/>
        </w:rPr>
        <w:t>כשהוא מכה</w:t>
      </w:r>
      <w:r>
        <w:rPr>
          <w:rFonts w:ascii="David" w:hAnsi="David" w:cs="David"/>
          <w:sz w:val="24"/>
          <w:szCs w:val="24"/>
          <w:rtl/>
        </w:rPr>
        <w:t xml:space="preserve"> (בתנועה מלמעלה למטה) את נג'אתי, לאחר שזה הופל ארצה, בעזרת חפץ הנחזה כמוט ברזל, ובהמשך לכך תופס בו כשנאשם אחר (נאשם 5) מטיח בנג'אתי כיסא פלסטיק. עוד ציין עו"ד ברזילי כי תיעוד זה השתלב עם מספר עדויות של מעורבים ממשפחת המתלוננים.</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בנוסף, ציין עו"ד ברזילי כי התיעוד המצולם והעדויות, קבלו תמיכה לא מבוטלת מגרסת התובע בהודעתו, אשר כללה שקרים מובהקים העולים כדי חיזוק או סיוע לראיות התביעה, ומנגד הודאה חלקית בתקיפת נג'אתי באמצעות נשק קר.</w:t>
      </w:r>
    </w:p>
    <w:p w:rsidR="00365D11" w:rsidRDefault="00365D11" w:rsidP="00365D11">
      <w:pPr>
        <w:pStyle w:val="ad"/>
        <w:spacing w:after="240" w:line="360" w:lineRule="auto"/>
        <w:ind w:left="567"/>
        <w:contextualSpacing w:val="0"/>
        <w:jc w:val="both"/>
        <w:rPr>
          <w:rFonts w:ascii="David" w:hAnsi="David" w:cs="David"/>
          <w:sz w:val="24"/>
          <w:szCs w:val="24"/>
          <w:rtl/>
        </w:rPr>
      </w:pPr>
      <w:r>
        <w:rPr>
          <w:rFonts w:ascii="David" w:hAnsi="David" w:cs="David"/>
          <w:sz w:val="24"/>
          <w:szCs w:val="24"/>
          <w:rtl/>
        </w:rPr>
        <w:t>חרף אמירות אלה בתצהיר, כאשר בחקירתו הנגדית הוצג לו הסרטון והוא נשאל לגבי הטענה כי המקל נגע בנג'אתי או לא, השיב עו"ד ברזילי ברוב הגינותו: "</w:t>
      </w:r>
      <w:r>
        <w:rPr>
          <w:rFonts w:ascii="David" w:hAnsi="David" w:cs="David"/>
          <w:b/>
          <w:bCs/>
          <w:sz w:val="24"/>
          <w:szCs w:val="24"/>
          <w:u w:val="single"/>
          <w:rtl/>
        </w:rPr>
        <w:t>אני לא ראיתי פה את המקל נוגע בנגאתי</w:t>
      </w:r>
      <w:r>
        <w:rPr>
          <w:rFonts w:ascii="David" w:hAnsi="David" w:cs="David"/>
          <w:b/>
          <w:bCs/>
          <w:sz w:val="24"/>
          <w:szCs w:val="24"/>
          <w:rtl/>
        </w:rPr>
        <w:t>. אני לא חושב שהסרטון מאפשר קביעה חד משמעית בעניין הזה... דבר נוסף שהנאשם 3 – התובע כאן אישר לי בחקירתו הנגדית שהוא הגיע לאחר שהוא זיהה שאחיו כבר סיכל את נגאתי... בעצם הוא מגיע לאחר סיכול הניסיון</w:t>
      </w:r>
      <w:r>
        <w:rPr>
          <w:rFonts w:ascii="David" w:hAnsi="David" w:cs="David"/>
          <w:sz w:val="24"/>
          <w:szCs w:val="24"/>
          <w:rtl/>
        </w:rPr>
        <w:t>" (עמ' 16, ש' 34 -36; עמ' 17, ש' 1 -8) (ההדגשה שלי- נ.מ).</w:t>
      </w:r>
    </w:p>
    <w:p w:rsidR="00365D11" w:rsidRDefault="00365D11" w:rsidP="00D26E2E">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על פי עדות</w:t>
      </w:r>
      <w:r w:rsidR="00D26E2E">
        <w:rPr>
          <w:rFonts w:ascii="David" w:hAnsi="David" w:cs="David" w:hint="cs"/>
          <w:sz w:val="24"/>
          <w:szCs w:val="24"/>
          <w:rtl/>
        </w:rPr>
        <w:t>ו</w:t>
      </w:r>
      <w:r>
        <w:rPr>
          <w:rFonts w:ascii="David" w:hAnsi="David" w:cs="David"/>
          <w:sz w:val="24"/>
          <w:szCs w:val="24"/>
          <w:rtl/>
        </w:rPr>
        <w:t xml:space="preserve"> של עו"ד ברזילי זמן האירוע המיוחס לתובע ארך "</w:t>
      </w:r>
      <w:r>
        <w:rPr>
          <w:rFonts w:ascii="David" w:hAnsi="David" w:cs="David"/>
          <w:b/>
          <w:bCs/>
          <w:sz w:val="24"/>
          <w:szCs w:val="24"/>
          <w:rtl/>
        </w:rPr>
        <w:t>בין 2-3 שניות</w:t>
      </w:r>
      <w:r>
        <w:rPr>
          <w:rFonts w:ascii="David" w:hAnsi="David" w:cs="David"/>
          <w:sz w:val="24"/>
          <w:szCs w:val="24"/>
          <w:rtl/>
        </w:rPr>
        <w:t xml:space="preserve">" (עמ' 16, ש' 27).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זאת ועוד, בסיכומיו לאחר שמיעת הראיות בבית המשפט המחוזי, לא טען עו"ד ברזילי כי המקל שאחז התובע פגע בראשו של נג'אתי אלא "</w:t>
      </w:r>
      <w:r>
        <w:rPr>
          <w:rFonts w:ascii="David" w:hAnsi="David" w:cs="David"/>
          <w:b/>
          <w:bCs/>
          <w:sz w:val="24"/>
          <w:szCs w:val="24"/>
          <w:rtl/>
        </w:rPr>
        <w:t>בפלג גופו העליון</w:t>
      </w:r>
      <w:r>
        <w:rPr>
          <w:rFonts w:ascii="David" w:hAnsi="David" w:cs="David"/>
          <w:sz w:val="24"/>
          <w:szCs w:val="24"/>
          <w:rtl/>
        </w:rPr>
        <w:t xml:space="preserve">" (סעיף 84 לנספח 9 לכתב </w:t>
      </w:r>
      <w:r>
        <w:rPr>
          <w:rFonts w:ascii="David" w:hAnsi="David" w:cs="David"/>
          <w:sz w:val="24"/>
          <w:szCs w:val="24"/>
          <w:rtl/>
        </w:rPr>
        <w:lastRenderedPageBreak/>
        <w:t>ההגנה). בעדתו בפניי ציין כי הוא עשה זאת מתוך "</w:t>
      </w:r>
      <w:r>
        <w:rPr>
          <w:rFonts w:ascii="David" w:hAnsi="David" w:cs="David"/>
          <w:b/>
          <w:bCs/>
          <w:sz w:val="24"/>
          <w:szCs w:val="24"/>
          <w:rtl/>
        </w:rPr>
        <w:t>זהירות ורצון לדייק</w:t>
      </w:r>
      <w:r>
        <w:rPr>
          <w:rFonts w:ascii="David" w:hAnsi="David" w:cs="David"/>
          <w:sz w:val="24"/>
          <w:szCs w:val="24"/>
          <w:rtl/>
        </w:rPr>
        <w:t>" והוסיף כי "</w:t>
      </w:r>
      <w:r>
        <w:rPr>
          <w:rFonts w:ascii="David" w:hAnsi="David" w:cs="David"/>
          <w:b/>
          <w:bCs/>
          <w:sz w:val="24"/>
          <w:szCs w:val="24"/>
          <w:rtl/>
        </w:rPr>
        <w:t>כמובן שראשו נכלל בפלג גופו העליון</w:t>
      </w:r>
      <w:r>
        <w:rPr>
          <w:rFonts w:ascii="David" w:hAnsi="David" w:cs="David"/>
          <w:sz w:val="24"/>
          <w:szCs w:val="24"/>
          <w:rtl/>
        </w:rPr>
        <w:t>" (עמ' 16, ש' 1 -2).</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עוד ובנוסף, בהתאם לטענת הנתבעת, בסיכומיה לאחר שמיעת הראיות, היא ביקשה להרשיע את התובע בעבירה שפחותה בחומרתה וזאת מאחר וסברה כי הוראות החיקוק שיוחסו לתובע מחמירות ביחס למעשיו; אולם בסופו של יום, בית המשפט המחוזי הרשיע את הנאשם מתוך טעות בעבירה שיוחסה לו בכתב האישום קרי; העבירה החמורה יותר.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גם בעיקרי הטיעון בערעור בבית המשפט העליון, לאחר שהמאשימה פירטה את טענותיה בדבר המעשים המיוחסים לתובע תוך הפניה לסרטון ולעדויות, היא ציינה כי היא מסכימה "</w:t>
      </w:r>
      <w:r>
        <w:rPr>
          <w:rFonts w:ascii="David" w:hAnsi="David" w:cs="David"/>
          <w:b/>
          <w:bCs/>
          <w:sz w:val="24"/>
          <w:szCs w:val="24"/>
          <w:rtl/>
        </w:rPr>
        <w:t xml:space="preserve">כי קיים קושי לייחס בגין מעשים אלו של המערערים 3 </w:t>
      </w:r>
      <w:r>
        <w:rPr>
          <w:rFonts w:ascii="David" w:hAnsi="David" w:cs="David"/>
          <w:sz w:val="24"/>
          <w:szCs w:val="24"/>
          <w:rtl/>
        </w:rPr>
        <w:t xml:space="preserve">[התובע- נ.מ] </w:t>
      </w:r>
      <w:r>
        <w:rPr>
          <w:rFonts w:ascii="David" w:hAnsi="David" w:cs="David"/>
          <w:b/>
          <w:bCs/>
          <w:sz w:val="24"/>
          <w:szCs w:val="24"/>
          <w:rtl/>
        </w:rPr>
        <w:t>ו-5 עבירת חבלה בכוונה מחמירה, ומסכימה לזכותם מעבירה זו, וחלף זאת להרשיעם בעבירה קלה יותר- תקיפה בנסיבות מחמירות...</w:t>
      </w:r>
      <w:r>
        <w:rPr>
          <w:rFonts w:ascii="David" w:hAnsi="David" w:cs="David"/>
          <w:sz w:val="24"/>
          <w:szCs w:val="24"/>
          <w:rtl/>
        </w:rPr>
        <w:t>" (סעיף 41 -47 לנספח י/1 לכתב התביעה).</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כאשר התבקש עו"ד ברזילי ליתן הסבר מדוע הוא בחר לבקש להרשיע את התובע בעבירה פחותה בחומרתה, הוא השיב כי לא היה משהו שהשתנה בחומר הראיות באופן דרמטי "</w:t>
      </w:r>
      <w:r>
        <w:rPr>
          <w:rFonts w:ascii="David" w:hAnsi="David" w:cs="David"/>
          <w:b/>
          <w:bCs/>
          <w:sz w:val="24"/>
          <w:szCs w:val="24"/>
          <w:rtl/>
        </w:rPr>
        <w:t>לא באופן דרמטי, אמרתי יש הליך שמתנהל, ....</w:t>
      </w:r>
      <w:r>
        <w:rPr>
          <w:rFonts w:ascii="David" w:hAnsi="David" w:cs="David"/>
          <w:sz w:val="24"/>
          <w:szCs w:val="24"/>
          <w:rtl/>
        </w:rPr>
        <w:t>" (עמ' 15, ש' 4) ופירט סיטואציות נוספות בהן התובע יכול היה להיות מואשם אולם, לבסוף הוחלט להעמידו לדין רק בגין סיטואציה אחת "</w:t>
      </w:r>
      <w:r>
        <w:rPr>
          <w:rFonts w:ascii="David" w:hAnsi="David" w:cs="David"/>
          <w:b/>
          <w:bCs/>
          <w:sz w:val="24"/>
          <w:szCs w:val="24"/>
          <w:rtl/>
        </w:rPr>
        <w:t>זה מה שביקשתי בסופו של דבר להאשים אותו בפעולה העיקרית פעולה שבה הוא מבצע אקטיבי בסעיף 10 שבה יוחס לו</w:t>
      </w:r>
      <w:r>
        <w:rPr>
          <w:rFonts w:ascii="David" w:hAnsi="David" w:cs="David"/>
          <w:sz w:val="24"/>
          <w:szCs w:val="24"/>
          <w:rtl/>
        </w:rPr>
        <w:t>" (עמ' 15, ש' 27 -28).</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הנתבעת נמנעה מלהסב תשומת לב בית המשפט המחוזי על הטעות שארעה בעת טיעוניה לעונש ואף מעבר לכך היא טענה למתחם ענישה לעבירה החמורה יותר "</w:t>
      </w:r>
      <w:r>
        <w:rPr>
          <w:rFonts w:ascii="David" w:hAnsi="David" w:cs="David"/>
          <w:b/>
          <w:bCs/>
          <w:sz w:val="24"/>
          <w:szCs w:val="24"/>
          <w:rtl/>
        </w:rPr>
        <w:t xml:space="preserve">בנוגע לנאשם 3 </w:t>
      </w:r>
      <w:r>
        <w:rPr>
          <w:rFonts w:ascii="David" w:hAnsi="David" w:cs="David"/>
          <w:sz w:val="24"/>
          <w:szCs w:val="24"/>
          <w:rtl/>
        </w:rPr>
        <w:t>[התובע- נ.מ]</w:t>
      </w:r>
      <w:r>
        <w:rPr>
          <w:rFonts w:ascii="David" w:hAnsi="David" w:cs="David"/>
          <w:b/>
          <w:bCs/>
          <w:sz w:val="24"/>
          <w:szCs w:val="24"/>
          <w:rtl/>
        </w:rPr>
        <w:t xml:space="preserve">, במסגרת האישום השני המתאר את שלב התקיפה המרכזי, הנאשם הורשע בעבירה של חבלה בכוונה מחמירה ובעבירה של גרימת חבלה בנסיבות מחמירות. כפי שנקבע בהכרעת הדין, לאחר שהופל נג'אתי ג'עברי על ידי אגרופיו של נאשם 1, היכה אותו נאשם 3 </w:t>
      </w:r>
      <w:r>
        <w:rPr>
          <w:rFonts w:ascii="David" w:hAnsi="David" w:cs="David"/>
          <w:sz w:val="24"/>
          <w:szCs w:val="24"/>
          <w:rtl/>
        </w:rPr>
        <w:t xml:space="preserve">[התובע- נ.מ] </w:t>
      </w:r>
      <w:r>
        <w:rPr>
          <w:rFonts w:ascii="David" w:hAnsi="David" w:cs="David"/>
          <w:b/>
          <w:bCs/>
          <w:sz w:val="24"/>
          <w:szCs w:val="24"/>
          <w:rtl/>
        </w:rPr>
        <w:t>באמצעות מוט ברזל בראשו... האלמנטים המחמירים של תקיפה זו כוללים את השימוש בנשק קר, הביצוע בצוותא, ....."</w:t>
      </w:r>
      <w:r>
        <w:rPr>
          <w:rFonts w:ascii="David" w:hAnsi="David" w:cs="David"/>
          <w:sz w:val="24"/>
          <w:szCs w:val="24"/>
          <w:rtl/>
        </w:rPr>
        <w:t xml:space="preserve"> וביקשה להטיל על התובע 22 חודשי מאסר.</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לא זו אף זו, התובע הגיש בקשה לעיכוב ביצוע עונש המאסר, אולם, גם בשלב זה המדינה לא עמדה על הטעות שנפלה בהכרעת הדין. עו"ד סידי, הפרקליטה שהופיעה בדיון מטעם הנתבעת התנגדה באופן גורף לבקשה תוך שטענה כי מדובר בסיכויים קלושים לקבלת הערעור. בסופו של יום הבקשה נדחתה והתובע החל לרצות את מאסרו כנדרש (ע"פ 1717/19 דבעאת נ' מדינת ישראל (מיום 29.07.19).</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lastRenderedPageBreak/>
        <w:t xml:space="preserve">לעניין זה אציין גם כי העובדה שהנתבעת נמנעה מלהסב את בית המשפט על הטעות בהכרעת הדין בעת הטיעונים לעונש ואף נמנעה מלהעלות עובדה זו בבקשת עיכוב הביצוע מעידה על התרשלות המדינה בניהול ההליך הפלילי עצמו.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בהקשר זה יפים לענייננו דברי בית המשפט העליון </w:t>
      </w:r>
      <w:r>
        <w:rPr>
          <w:rFonts w:ascii="David" w:hAnsi="David" w:cs="David"/>
          <w:color w:val="000000"/>
          <w:sz w:val="24"/>
          <w:szCs w:val="24"/>
          <w:rtl/>
        </w:rPr>
        <w:t>"</w:t>
      </w:r>
      <w:r>
        <w:rPr>
          <w:rFonts w:ascii="David" w:hAnsi="David" w:cs="David"/>
          <w:b/>
          <w:bCs/>
          <w:color w:val="000000"/>
          <w:sz w:val="24"/>
          <w:szCs w:val="24"/>
          <w:rtl/>
        </w:rPr>
        <w:t>... כאשר מדובר ביישום רשלני של החלטה שהתקבלה זה מכבר, או בניהול רשלני של ההליכים שקדמו לקבלת ההחלטה, ולא בהפעלת שיקול הדעת עצמו, לא תוכל הרשות לחסות תחת הגנת שיקול הדעת שהותוותה בפסיקה</w:t>
      </w:r>
      <w:r>
        <w:rPr>
          <w:rFonts w:ascii="David" w:hAnsi="David" w:cs="David"/>
          <w:color w:val="000000"/>
          <w:sz w:val="24"/>
          <w:szCs w:val="24"/>
          <w:rtl/>
        </w:rPr>
        <w:t>"</w:t>
      </w:r>
      <w:r>
        <w:rPr>
          <w:rFonts w:ascii="David" w:hAnsi="David" w:cs="David"/>
          <w:b/>
          <w:bCs/>
          <w:color w:val="000000"/>
          <w:sz w:val="24"/>
          <w:szCs w:val="24"/>
          <w:rtl/>
        </w:rPr>
        <w:t xml:space="preserve"> </w:t>
      </w:r>
      <w:r>
        <w:rPr>
          <w:rFonts w:ascii="David" w:hAnsi="David" w:cs="David"/>
          <w:color w:val="000000"/>
          <w:sz w:val="24"/>
          <w:szCs w:val="24"/>
          <w:rtl/>
        </w:rPr>
        <w:t xml:space="preserve">(ע"א 6313/19 </w:t>
      </w:r>
      <w:r>
        <w:rPr>
          <w:rFonts w:ascii="David" w:hAnsi="David" w:cs="David"/>
          <w:b/>
          <w:bCs/>
          <w:color w:val="000000"/>
          <w:sz w:val="24"/>
          <w:szCs w:val="24"/>
          <w:rtl/>
        </w:rPr>
        <w:t>רשות ניירות ערך נ' שמואל</w:t>
      </w:r>
      <w:r>
        <w:rPr>
          <w:rFonts w:ascii="David" w:hAnsi="David" w:cs="David"/>
          <w:color w:val="000000"/>
          <w:sz w:val="24"/>
          <w:szCs w:val="24"/>
          <w:rtl/>
        </w:rPr>
        <w:t xml:space="preserve"> (פורסם בנבו, 11.04.22)).</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תמוהה בעיני מדוע המשיכה המדינה במספר הזדמנויות לאחר הכרעת הדין לדבוק בעמדתה ולא ציינה את העובדה כי היא עתרה להרשעה בעבירה שפחותה בחומרתה מהעבירה בה הורשע התובע בסופו של יום.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חרף העובדה שמדובר באירוע שארע בשנת 2015 ולמרות שנגד התובע ומשפחתו הוגש כתב האישום מספר ימים לאחר מעצרם, המדינה נמנעה מלהגיש כתב אישום נגד משפחת המתלוננים וזאת עד לשנת 2019. ביום 25.10.18, מסגרת הטיעונים לעונש בבית המשפט המחוזי ציינה ב"כ הנתבעת כי משפחת המתלוננים נחקרו כחשודים בתיק ולחלקם נשלחו מכתבי יידוע טרם הגשת כתב אישום. כאשר התבקשה לשאלת בית המשפט ליתן הסבר להתנהלות זו היא ציינה כי ישנו פער תהומי בחומרת המעשים בין הצדדים. כתב האישום הוגש כנגד משפחת המתלוננים רק כמעט כשנה לאחר מכן ביום 16.07.19.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עוד אציין כי מעיון בכתב האישום שהוגש כנגד משפחת המתלוננים עולה כי בפרק העובדות צוין כי "</w:t>
      </w:r>
      <w:r>
        <w:rPr>
          <w:rFonts w:ascii="David" w:hAnsi="David" w:cs="David"/>
          <w:b/>
          <w:bCs/>
          <w:sz w:val="24"/>
          <w:szCs w:val="24"/>
          <w:rtl/>
        </w:rPr>
        <w:t>הרים נאשם 1</w:t>
      </w:r>
      <w:r>
        <w:rPr>
          <w:rFonts w:ascii="David" w:hAnsi="David" w:cs="David"/>
          <w:sz w:val="24"/>
          <w:szCs w:val="24"/>
          <w:rtl/>
        </w:rPr>
        <w:t xml:space="preserve"> [נג'אתי –נ.מ] </w:t>
      </w:r>
      <w:r>
        <w:rPr>
          <w:rFonts w:ascii="David" w:hAnsi="David" w:cs="David"/>
          <w:b/>
          <w:bCs/>
          <w:sz w:val="24"/>
          <w:szCs w:val="24"/>
          <w:rtl/>
        </w:rPr>
        <w:t>אבן גדולה שהייתה על הריצפה ורץ לעברו של ואיל אבו דבעאת</w:t>
      </w:r>
      <w:r>
        <w:rPr>
          <w:rFonts w:ascii="David" w:hAnsi="David" w:cs="David"/>
          <w:sz w:val="24"/>
          <w:szCs w:val="24"/>
          <w:rtl/>
        </w:rPr>
        <w:t xml:space="preserve"> [אחיו של התובע- נ.מ], </w:t>
      </w:r>
      <w:r>
        <w:rPr>
          <w:rFonts w:ascii="David" w:hAnsi="David" w:cs="David"/>
          <w:b/>
          <w:bCs/>
          <w:sz w:val="24"/>
          <w:szCs w:val="24"/>
          <w:rtl/>
        </w:rPr>
        <w:t>אך ואיל הכה בו באגרוף והפילו ארצה</w:t>
      </w:r>
      <w:r>
        <w:rPr>
          <w:rFonts w:ascii="David" w:hAnsi="David" w:cs="David"/>
          <w:sz w:val="24"/>
          <w:szCs w:val="24"/>
          <w:rtl/>
        </w:rPr>
        <w:t>". דהיינו גרסה אשר תואמת את גרסתו של התובע כאן שנג'אתי נוטרל והופל ארצה עוד לפני שהוא הגיע אליו.</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לאור האמור, אני קובע כי רשויות החקירה והפרקליטות התרשלו משלא בחנו לעומק את הסרטון; כמו כן הן התרשלו במהלך ניהול ההליך הן שלא העמידו את בית המשפט המחוזי על הטעות שנפלה בהכרעת הדין והן במסגרת בקשת עיכוב ביצוע המאסר.</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אלמלא התנגדות הנתבעת לעיכוב הביצוע ושתיקתה לטעות שנפלה בהכרעת הדין אשר התברר כי היא אף נבנתה עליה, התובע לא היה מרצה תקופה כה משמעותית במאסר ממש מאחורי סורג ובריח.</w:t>
      </w:r>
    </w:p>
    <w:p w:rsidR="00365D11" w:rsidRDefault="00365D11" w:rsidP="00D26E2E">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lastRenderedPageBreak/>
        <w:t xml:space="preserve">בנסיבות אלה, הגעתי למסקנה כי התנהלות </w:t>
      </w:r>
      <w:r w:rsidR="00D26E2E">
        <w:rPr>
          <w:rFonts w:ascii="David" w:hAnsi="David" w:cs="David" w:hint="cs"/>
          <w:sz w:val="24"/>
          <w:szCs w:val="24"/>
          <w:rtl/>
        </w:rPr>
        <w:t>הנתבעות</w:t>
      </w:r>
      <w:r>
        <w:rPr>
          <w:rFonts w:ascii="David" w:hAnsi="David" w:cs="David"/>
          <w:sz w:val="24"/>
          <w:szCs w:val="24"/>
          <w:rtl/>
        </w:rPr>
        <w:t xml:space="preserve"> לא הייתה תקינה ועלתה כדי התרשלות;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עתה, נשאלת השאלה האם רשלנות זו הובילה לנזקים שאירעו, היינו להימשכות ההליך והנזקים הכרוכים בו לתובע. התשובה לכך חיובית.</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משלא פעלו רשויות המדינה כיאות וכפי שמצופה מהן כרשויות ציבוריות ולא בחנו את טענות התובע תוך התעמקות בסרטון, נגרם מצב של התמשכות ההליכים ולתוצאתו תוך גרימת מעצרו של התובע ובהמשך מאסרו תקופה ארוכה שלא לצורך.</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ראשית, באם כתב האישום היה מייחס לתובע עבירה של תקיפה סתם בנסיבות מחמירות, אזי גם העונש שהיה מתבקש היה פחות מחמיר ואף יתכן כי כלל לא היה נתון במעצר ובתנאים מגבילים שהביאו בסופו של יום לאיבוד מקום עבודתו.</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שנית, עבירה פחותה היה בה בכדי להגביר את הסיכוי לקבלת בקשת התובע לעיכוב ביצוע עונש המאסר ובכך היה בכדי לחסוך ריצוי מאסר שלא לצורך.</w:t>
      </w:r>
    </w:p>
    <w:p w:rsidR="00365D11" w:rsidRDefault="00365D11" w:rsidP="00365D11">
      <w:pPr>
        <w:spacing w:after="240" w:line="360" w:lineRule="auto"/>
        <w:jc w:val="both"/>
        <w:rPr>
          <w:rFonts w:ascii="David" w:hAnsi="David"/>
          <w:b/>
          <w:bCs/>
          <w:u w:val="double"/>
        </w:rPr>
      </w:pPr>
      <w:r>
        <w:rPr>
          <w:rFonts w:ascii="David" w:hAnsi="David"/>
          <w:b/>
          <w:bCs/>
          <w:u w:val="double"/>
          <w:rtl/>
        </w:rPr>
        <w:t>הנזק</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במקרה דנן, הפגיעות העיקריות שנגרמו לתובע הן הפגיעה באוטונומיה ובחירותו כתוצאה מהתמשכות ההליך ועד שהוא זוכה.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לטענת התובע יש לפסוק לו פיצוי על דרך האומדנה וזאת בגין ימי מעצרו, מאסרו ותקופת התנאים המגבילים בהם שהה במעצר בית. עוד עתר התובע לפיצוי בגין הפסדי השתכרות וכן הוצאות ניהול ההליך הפלילי. התובע העריך את נזקיו בסך של 1,241,071 ₪ והעמיד את תביעתו משיקולי אגרה על סך של 900,000 ₪.</w:t>
      </w:r>
    </w:p>
    <w:p w:rsidR="00365D11" w:rsidRDefault="00365D11" w:rsidP="00BA3E80">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התובע ציין כי בתקופה שלפני המעצר וגם בשלב מסוים לאחר השחרור עבד כנהג הסעות באו"ם. לטענתו, רק אחרי שזוכה הסכימו באו"ם להחזירו לעבודה כנהג.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התובע ציין כי בעבודתו באו"ם הוא היה משתכר סך של 17,392 ₪ ברוטו לחודש, ולפעמים גם היה מגדיל את הכנסתו בשעות נוספות. לתמיכה בטענתו צירף התובע תלושי שכר לחודשים מרץ ואפריל 2019. התובע ביקש לפסוק לו פיצוי בגין אובדן הכנסה מעבודתו באו"ם לתקופה של כ- 8 חודשים (63 ימי מעצר + שלושה חודשי מעצר בית + 100 ימי מאסר), בסך של 106,496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lastRenderedPageBreak/>
        <w:t>בנוסף ביקש התובע לפסוק לו פיצוי בגין אובדן הכנסה מעבודתו במספרה בסך של 2,500 ₪ בממוצע לחודש ובסה"כ פיצוי של 127,571 ₪ בגין כל התקופה.</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בהקשר להוצאות ניהול ההליך הפלילי טוען התובע כי נגרמו לו הוצאות רק בשלב הערעור מאחר ובהליך הפלילי בבית המשפט המחוזי שילם סכום משותף עם יתר הנאשמים. לטענתו, הוא התחייב לשלם לבא כוחו סך של 58,500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הנתבעים לעומת זאת טוענים כי התובע לא צירף בדל ראיה להוכחת נזקיו ועל כן מבקשים לדחות את בקשתו. </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באשר להפסדי שכר, טוענים הנתבעים כי התובע היה עצור כחודשיים ולאחר מכן שוחרר בתנאים שבהם ניתנה לו אפשרות לעבוד. לאחר מכן התובע שהה במאסר כשלושה חודשים לאחר שבית המשפט העליון דחה את בקשתו לעיכוב ביצוע העונש שהוטל עליו בגזר הדין.</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לטענתם, גם אם נגרם לתובע נזק כלכלי בשל ההליך שהתנהל נגדו, נזק זה אינו בר פיצוי מקום שלא הוכחה רשלנות.</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המדינה טוענת כי מעצרו של התובע היה כדין ונעשה בעקבות החלטה שיפוטית שבחנה את הדברים לגופם. ומשכך הרי הדבר מנתק את הקשר הסיבתי המשפטי בין מעשה או מחדל אותו ניתן ליחס לנתבעת לבין נזקו של התובע כתוצאה מהמעצר והמאסר.</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עוד הוסיפה המדינה כי התובע שוחרר ביום 21.06.15 למעצר בית תוך מתן אפשרות לעבוד במספרה ללא הגבלת שעות ומאוחר יותר התאפשרה גם יציאתו לעבודה כנהג הסעות וזאת בהגבלות מסוימות. בהמשך הוגשה בקשה נוספת להרחבת שעות העבודה, אשר המדינה הסכימה לה וביום 12.06.16 אף בוטל מעצר הבית הלילי.</w:t>
      </w:r>
    </w:p>
    <w:p w:rsidR="00365D11" w:rsidRDefault="00365D11" w:rsidP="00365D11">
      <w:pPr>
        <w:pStyle w:val="ad"/>
        <w:spacing w:after="240" w:line="360" w:lineRule="auto"/>
        <w:ind w:left="567"/>
        <w:contextualSpacing w:val="0"/>
        <w:jc w:val="both"/>
        <w:rPr>
          <w:rFonts w:ascii="David" w:hAnsi="David" w:cs="David"/>
          <w:sz w:val="24"/>
          <w:szCs w:val="24"/>
          <w:rtl/>
        </w:rPr>
      </w:pPr>
      <w:r>
        <w:rPr>
          <w:rFonts w:ascii="David" w:hAnsi="David" w:cs="David"/>
          <w:sz w:val="24"/>
          <w:szCs w:val="24"/>
          <w:rtl/>
        </w:rPr>
        <w:t>בנסיבות אלה, טוענת המדינה כי אין לקבל את טענות התובע באשר להפסדים שנגרמו וכי יש לדחות את בקשתו לפיצוי.</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עיינתי בטענות הצדדים לעניין הנזק ובחנתי את המסמכים שהוגשו על ידם ובהקשר לעבודה הנטענת באו"ם יש לציין כי התובע צירף רק שני תלושים בלבד הסמוכים לתקופת תחילת ריצוי מאסרו. לא מצאתי כי יש בתלושים אלו בכדי להעיד על הכלל או כדי לתמוך בטענתו לגבי משך עבודתו וגובה שכרו מעבודה זו. העובדה שהתובע טען לגבי עבודה זו בהליכים השונים אין בה גם בכדי להעיד כי זוהי עבודתו הקבועה במשך כל התקופה וזאת בהעדר ראיות תומכות לעניין. באשר לעבודתו במספרה, הרי שעבודה זו לא נפגעה כנטען על ידו שכן גם בתקופה שבה שהה במעצר בית ניתנה לו האפשרות לעבוד במספרה ללא הגבלה.</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lastRenderedPageBreak/>
        <w:t xml:space="preserve">על כן, לא מצאתי לפסוק לתובע פיצוי בגין אובדן שכר בתקופה הרלוונטית. </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יחד עם זאת, ראיתי לפסוק לתובע פיצוי בגין הפגיעה בחירות ובאוטונומיה כפי שיפורט להלן: אין חולק כי חירותו של אדם היא זכות יסוד מן המעלה הראשונה, זכות שמעוגנת בחוק יסוד: כבוד האדם וחירותו, וכי רק אינטרס ציבורי מובהק מצדיק את הגבלתה (ראו: דנ"פ 2316/95 </w:t>
      </w:r>
      <w:r>
        <w:rPr>
          <w:rFonts w:ascii="David" w:hAnsi="David" w:cs="David"/>
          <w:b/>
          <w:bCs/>
          <w:sz w:val="24"/>
          <w:szCs w:val="24"/>
          <w:rtl/>
        </w:rPr>
        <w:t>גנימאת נ' מדינת ישראל</w:t>
      </w:r>
      <w:r>
        <w:rPr>
          <w:rFonts w:ascii="David" w:hAnsi="David" w:cs="David"/>
          <w:sz w:val="24"/>
          <w:szCs w:val="24"/>
          <w:rtl/>
        </w:rPr>
        <w:t>, פ"ד מט(4) 589)).</w:t>
      </w:r>
    </w:p>
    <w:p w:rsidR="00365D11" w:rsidRDefault="00365D11" w:rsidP="00365D11">
      <w:pPr>
        <w:pStyle w:val="ad"/>
        <w:spacing w:after="240" w:line="360" w:lineRule="auto"/>
        <w:ind w:left="567"/>
        <w:contextualSpacing w:val="0"/>
        <w:jc w:val="both"/>
        <w:rPr>
          <w:rFonts w:ascii="David" w:hAnsi="David" w:cs="David"/>
          <w:sz w:val="24"/>
          <w:szCs w:val="24"/>
        </w:rPr>
      </w:pPr>
      <w:r>
        <w:rPr>
          <w:rFonts w:ascii="David" w:hAnsi="David" w:cs="David"/>
          <w:sz w:val="24"/>
          <w:szCs w:val="24"/>
          <w:rtl/>
        </w:rPr>
        <w:t>בענייננו, התובע היה במעצר ולאחר מכן שהה במעצר בית בתנאים מגבילים ואף היה במאסר ממש מאחורי סורג ובריח. אין לתאר חומרת המצב בו נלקח אדם ומושם מאחורי סורג ובריח ואף נשאר שם משך תקופה ממשוכת על לא עוול בכפו.</w:t>
      </w:r>
    </w:p>
    <w:p w:rsidR="00365D11" w:rsidRDefault="00365D11" w:rsidP="00365D11">
      <w:pPr>
        <w:pStyle w:val="ad"/>
        <w:numPr>
          <w:ilvl w:val="0"/>
          <w:numId w:val="1"/>
        </w:numPr>
        <w:spacing w:after="240" w:line="360" w:lineRule="auto"/>
        <w:ind w:left="567" w:hanging="567"/>
        <w:contextualSpacing w:val="0"/>
        <w:jc w:val="both"/>
        <w:rPr>
          <w:rStyle w:val="ac-h1"/>
          <w:rFonts w:ascii="David" w:hAnsi="David" w:cs="David"/>
          <w:sz w:val="24"/>
          <w:szCs w:val="24"/>
        </w:rPr>
      </w:pPr>
      <w:r>
        <w:rPr>
          <w:rStyle w:val="ac-h1"/>
          <w:rFonts w:ascii="David" w:hAnsi="David" w:cs="David"/>
          <w:sz w:val="24"/>
          <w:szCs w:val="24"/>
          <w:rtl/>
        </w:rPr>
        <w:t xml:space="preserve">בעת פסיקת פיצוי בגין פגיעה באוטונומיה נקבע לא פעם כי יש לקחת בחשבון כי מדובר באנשים ובנסיבות עובדתיות פרטניות ולא בנוסחאות מתמטיות ובחישובי מחשב, ויש להיזהר מקביעת "תעריפים" לגבי יום מעצר אלא לבחון כל מקרה לגופו, ולהשאיר שיקול דעת לבית המשפט הדן בתיק. </w:t>
      </w:r>
    </w:p>
    <w:p w:rsidR="00365D11" w:rsidRDefault="00365D11" w:rsidP="00365D11">
      <w:pPr>
        <w:pStyle w:val="ad"/>
        <w:spacing w:after="240" w:line="360" w:lineRule="auto"/>
        <w:ind w:left="567"/>
        <w:contextualSpacing w:val="0"/>
        <w:jc w:val="both"/>
      </w:pPr>
      <w:r>
        <w:rPr>
          <w:rStyle w:val="ac-h1"/>
          <w:rFonts w:ascii="David" w:hAnsi="David" w:cs="David"/>
          <w:sz w:val="24"/>
          <w:szCs w:val="24"/>
          <w:rtl/>
        </w:rPr>
        <w:t xml:space="preserve">בתי המשפט הוסיפו כי, אין ספק כי כל מקרה יש לבחון על-פי נסיבותיו הספציפיות, ואין להקיש ממקרה אחד למשנהו, אף אם מדובר בפיצוי בגין פגיעה בחירות. הפסיקה קבעה כי כל מקרה הוא בעל מאפיינים שונים, ולבית המשפט מסורה הסמכות להעריך את הנזק הלא ממוני בהתאם לשיקול דעתו (ע"א 19343-03-11 </w:t>
      </w:r>
      <w:r>
        <w:rPr>
          <w:rStyle w:val="ac-h1"/>
          <w:rFonts w:ascii="David" w:hAnsi="David" w:cs="David"/>
          <w:b/>
          <w:bCs/>
          <w:sz w:val="24"/>
          <w:szCs w:val="24"/>
          <w:rtl/>
        </w:rPr>
        <w:t>קמינסקי אולג נ' מדינת ישראל</w:t>
      </w:r>
      <w:r>
        <w:rPr>
          <w:rStyle w:val="ac-h1"/>
          <w:rFonts w:ascii="David" w:hAnsi="David" w:cs="David"/>
          <w:sz w:val="24"/>
          <w:szCs w:val="24"/>
          <w:rtl/>
        </w:rPr>
        <w:t xml:space="preserve"> (פורסם בנבו, 02.04.12)).</w:t>
      </w:r>
    </w:p>
    <w:p w:rsidR="00365D11" w:rsidRDefault="00365D11" w:rsidP="00365D11">
      <w:pPr>
        <w:pStyle w:val="ad"/>
        <w:numPr>
          <w:ilvl w:val="0"/>
          <w:numId w:val="1"/>
        </w:numPr>
        <w:spacing w:after="240" w:line="360" w:lineRule="auto"/>
        <w:ind w:left="567" w:hanging="567"/>
        <w:contextualSpacing w:val="0"/>
        <w:jc w:val="both"/>
        <w:rPr>
          <w:rFonts w:ascii="Times New Roman" w:eastAsia="Times New Roman" w:hAnsi="Times New Roman" w:cs="David"/>
          <w:sz w:val="24"/>
          <w:szCs w:val="24"/>
          <w:rtl/>
        </w:rPr>
      </w:pPr>
      <w:r>
        <w:rPr>
          <w:rFonts w:ascii="Times New Roman" w:eastAsia="Times New Roman" w:hAnsi="Times New Roman" w:cs="David"/>
          <w:sz w:val="24"/>
          <w:szCs w:val="24"/>
          <w:rtl/>
        </w:rPr>
        <w:t xml:space="preserve">אכן קביעת פיצוי בגין נזק לא ממוני הינה מלאכה קשה הנתונה להערכה ולשיקול דעתו של בית </w:t>
      </w:r>
      <w:r>
        <w:rPr>
          <w:rStyle w:val="ac-h1"/>
          <w:rFonts w:ascii="David" w:hAnsi="David" w:cs="David"/>
          <w:sz w:val="24"/>
          <w:szCs w:val="24"/>
          <w:rtl/>
        </w:rPr>
        <w:t>המשפט</w:t>
      </w:r>
      <w:r>
        <w:rPr>
          <w:rFonts w:ascii="Times New Roman" w:eastAsia="Times New Roman" w:hAnsi="Times New Roman" w:cs="David"/>
          <w:sz w:val="24"/>
          <w:szCs w:val="24"/>
          <w:rtl/>
        </w:rPr>
        <w:t xml:space="preserve"> לפי נתוני המקרה שלפניו. בענייננו, מצאתי כי נכון יהיה לאמוד את הפיצוי באופן גלובלי, על פי נסיבות המקרה ולאחר שקילת מכלול השיקולים והנתונים הצריכים ולא לקבוע תעריף יומי כפי שביקש התובע (ראו בעניין זה האמור ברע"א 5932/08 </w:t>
      </w:r>
      <w:r>
        <w:rPr>
          <w:rFonts w:ascii="Times New Roman" w:eastAsia="Times New Roman" w:hAnsi="Times New Roman" w:cs="David"/>
          <w:b/>
          <w:bCs/>
          <w:sz w:val="24"/>
          <w:szCs w:val="24"/>
          <w:rtl/>
        </w:rPr>
        <w:t>שירי נ' מדינת ישראל</w:t>
      </w:r>
      <w:r>
        <w:rPr>
          <w:rFonts w:ascii="Times New Roman" w:eastAsia="Times New Roman" w:hAnsi="Times New Roman" w:cs="David"/>
          <w:sz w:val="24"/>
          <w:szCs w:val="24"/>
          <w:rtl/>
        </w:rPr>
        <w:t xml:space="preserve"> </w:t>
      </w:r>
      <w:r>
        <w:rPr>
          <w:rFonts w:ascii="Times New Roman" w:eastAsia="Times New Roman" w:hAnsi="Times New Roman" w:cs="David"/>
          <w:szCs w:val="24"/>
          <w:rtl/>
        </w:rPr>
        <w:t xml:space="preserve">(פורסם בנבו, </w:t>
      </w:r>
      <w:r>
        <w:rPr>
          <w:rFonts w:ascii="Times New Roman" w:eastAsia="Times New Roman" w:hAnsi="Times New Roman" w:cs="David"/>
          <w:sz w:val="24"/>
          <w:szCs w:val="24"/>
          <w:rtl/>
        </w:rPr>
        <w:t>25.8.10)).</w:t>
      </w:r>
    </w:p>
    <w:p w:rsidR="00365D11" w:rsidRDefault="00365D11" w:rsidP="00BA3E80">
      <w:pPr>
        <w:pStyle w:val="ad"/>
        <w:numPr>
          <w:ilvl w:val="0"/>
          <w:numId w:val="1"/>
        </w:numPr>
        <w:spacing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לאחר ששקלתי את כלל השיקולים ועיינתי בטיעוני הצדדים לעניין הנזק אל מול הפסיקה הנוהגת </w:t>
      </w:r>
      <w:r w:rsidRPr="00BA3E80">
        <w:rPr>
          <w:rFonts w:ascii="David" w:hAnsi="David" w:cs="David"/>
          <w:sz w:val="24"/>
          <w:szCs w:val="24"/>
          <w:rtl/>
        </w:rPr>
        <w:t xml:space="preserve">מצאתי </w:t>
      </w:r>
      <w:r w:rsidR="00BA3E80" w:rsidRPr="00BA3E80">
        <w:rPr>
          <w:rFonts w:ascii="David" w:hAnsi="David" w:cs="David" w:hint="cs"/>
          <w:sz w:val="24"/>
          <w:szCs w:val="24"/>
          <w:rtl/>
        </w:rPr>
        <w:t>לפסוק לתובע</w:t>
      </w:r>
      <w:r w:rsidR="00BA3E80" w:rsidRPr="00BA3E80">
        <w:rPr>
          <w:rFonts w:ascii="David" w:hAnsi="David" w:cs="David" w:hint="cs"/>
          <w:b/>
          <w:bCs/>
          <w:sz w:val="24"/>
          <w:szCs w:val="24"/>
          <w:u w:val="single"/>
          <w:rtl/>
        </w:rPr>
        <w:t xml:space="preserve"> </w:t>
      </w:r>
      <w:r w:rsidRPr="00BA3E80">
        <w:rPr>
          <w:rFonts w:ascii="David" w:hAnsi="David" w:cs="David"/>
          <w:b/>
          <w:bCs/>
          <w:sz w:val="24"/>
          <w:szCs w:val="24"/>
          <w:u w:val="single"/>
          <w:rtl/>
        </w:rPr>
        <w:t xml:space="preserve">פיצוי </w:t>
      </w:r>
      <w:r w:rsidRPr="00BA3E80">
        <w:rPr>
          <w:rFonts w:ascii="Times New Roman" w:eastAsia="Times New Roman" w:hAnsi="Times New Roman" w:cs="David"/>
          <w:b/>
          <w:bCs/>
          <w:sz w:val="24"/>
          <w:szCs w:val="24"/>
          <w:u w:val="single"/>
          <w:rtl/>
        </w:rPr>
        <w:t>בסך של 254,000 ₪</w:t>
      </w:r>
      <w:r w:rsidRPr="00BA3E80">
        <w:rPr>
          <w:rFonts w:ascii="Times New Roman" w:eastAsia="Times New Roman" w:hAnsi="Times New Roman" w:cs="David"/>
          <w:sz w:val="24"/>
          <w:szCs w:val="24"/>
          <w:rtl/>
        </w:rPr>
        <w:t xml:space="preserve">. </w:t>
      </w:r>
      <w:r>
        <w:rPr>
          <w:rFonts w:ascii="Times New Roman" w:eastAsia="Times New Roman" w:hAnsi="Times New Roman" w:cs="David"/>
          <w:sz w:val="24"/>
          <w:szCs w:val="24"/>
          <w:rtl/>
        </w:rPr>
        <w:t xml:space="preserve">סכום זה הינו נכון </w:t>
      </w:r>
      <w:r w:rsidR="00BA3E80">
        <w:rPr>
          <w:rFonts w:ascii="Times New Roman" w:eastAsia="Times New Roman" w:hAnsi="Times New Roman" w:cs="David" w:hint="cs"/>
          <w:sz w:val="24"/>
          <w:szCs w:val="24"/>
          <w:rtl/>
        </w:rPr>
        <w:t>למועד מתן פסק הדין</w:t>
      </w:r>
      <w:r>
        <w:rPr>
          <w:rFonts w:ascii="Times New Roman" w:eastAsia="Times New Roman" w:hAnsi="Times New Roman" w:cs="David"/>
          <w:sz w:val="24"/>
          <w:szCs w:val="24"/>
          <w:rtl/>
        </w:rPr>
        <w:t xml:space="preserve"> וכולל פיצוי בגין מלוא טענות התובע, לרבות בגין התקופה בה שהה במעצר (63 ימים), התקופה בה שהה במאסר (100 ימים) וכן בתקופה בה שהה במעצר בית למשך 3 חודשים.</w:t>
      </w:r>
    </w:p>
    <w:p w:rsidR="00365D11" w:rsidRDefault="00365D11" w:rsidP="00365D11">
      <w:pPr>
        <w:spacing w:after="240" w:line="360" w:lineRule="auto"/>
        <w:jc w:val="both"/>
        <w:rPr>
          <w:rFonts w:ascii="David" w:hAnsi="David"/>
          <w:b/>
          <w:bCs/>
          <w:u w:val="double"/>
          <w:rtl/>
        </w:rPr>
      </w:pPr>
    </w:p>
    <w:p w:rsidR="00365D11" w:rsidRDefault="00365D11" w:rsidP="00365D11">
      <w:pPr>
        <w:spacing w:after="240" w:line="360" w:lineRule="auto"/>
        <w:jc w:val="both"/>
        <w:rPr>
          <w:rFonts w:ascii="David" w:hAnsi="David"/>
          <w:b/>
          <w:bCs/>
          <w:u w:val="double"/>
          <w:rtl/>
        </w:rPr>
      </w:pPr>
    </w:p>
    <w:p w:rsidR="00365D11" w:rsidRDefault="00365D11" w:rsidP="00365D11">
      <w:pPr>
        <w:spacing w:after="240" w:line="360" w:lineRule="auto"/>
        <w:jc w:val="both"/>
        <w:rPr>
          <w:rFonts w:ascii="David" w:hAnsi="David"/>
          <w:b/>
          <w:bCs/>
          <w:u w:val="double"/>
        </w:rPr>
      </w:pPr>
      <w:r>
        <w:rPr>
          <w:rFonts w:ascii="David" w:hAnsi="David"/>
          <w:b/>
          <w:bCs/>
          <w:u w:val="double"/>
          <w:rtl/>
        </w:rPr>
        <w:lastRenderedPageBreak/>
        <w:t>כללו של דבר</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Pr>
      </w:pPr>
      <w:r>
        <w:rPr>
          <w:rFonts w:ascii="David" w:hAnsi="David" w:cs="David"/>
          <w:sz w:val="24"/>
          <w:szCs w:val="24"/>
          <w:rtl/>
        </w:rPr>
        <w:t>התביעה מתקבלת כך שהנתבעים ישלמו לתובע את הסכומים שנפסקו לעיל. בנוסף, הנתבעים יישאו בהוצאות המשפט בהן נשא התובע וכן בשכר טרחת עורך דינו, בשיעור של 23.4% (כולל מע"מ).</w:t>
      </w:r>
    </w:p>
    <w:p w:rsidR="00365D11" w:rsidRDefault="00365D11" w:rsidP="00365D11">
      <w:pPr>
        <w:pStyle w:val="ad"/>
        <w:numPr>
          <w:ilvl w:val="0"/>
          <w:numId w:val="1"/>
        </w:numPr>
        <w:spacing w:after="240" w:line="360" w:lineRule="auto"/>
        <w:ind w:left="567" w:hanging="567"/>
        <w:contextualSpacing w:val="0"/>
        <w:jc w:val="both"/>
        <w:rPr>
          <w:rFonts w:ascii="David" w:hAnsi="David" w:cs="David"/>
          <w:sz w:val="24"/>
          <w:szCs w:val="24"/>
          <w:rtl/>
        </w:rPr>
      </w:pPr>
      <w:r>
        <w:rPr>
          <w:rFonts w:ascii="David" w:hAnsi="David" w:cs="David"/>
          <w:sz w:val="24"/>
          <w:szCs w:val="24"/>
          <w:rtl/>
        </w:rPr>
        <w:t>הסכומים הנ"ל ישולמו לתובע בתוך 30 ימים מיום המצאת פסק הדין, שאם לא כן, יישאו הפרשי הצמדה וריבית כדין מהיום ועד לתשלום בפועל.</w:t>
      </w:r>
    </w:p>
    <w:p w:rsidR="00694556" w:rsidRPr="00C770E3" w:rsidRDefault="00365D11" w:rsidP="00365D11">
      <w:pPr>
        <w:spacing w:line="360" w:lineRule="auto"/>
        <w:jc w:val="both"/>
        <w:rPr>
          <w:rFonts w:ascii="Arial" w:hAnsi="Arial"/>
          <w:noProof w:val="0"/>
          <w:rtl/>
        </w:rPr>
      </w:pPr>
      <w:r>
        <w:rPr>
          <w:rFonts w:ascii="David" w:hAnsi="David"/>
          <w:b/>
          <w:bCs/>
          <w:rtl/>
        </w:rPr>
        <w:t>המזכירות תמציא את פסק הדין לצדדים.</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נובמבר 2023</w:t>
          </w:r>
        </w:sdtContent>
      </w:sdt>
      <w:r w:rsidR="00005C8B">
        <w:rPr>
          <w:rFonts w:ascii="Arial" w:hAnsi="Arial"/>
          <w:noProof w:val="0"/>
          <w:rtl/>
        </w:rPr>
        <w:t>, בהעדר הצדדים.</w:t>
      </w:r>
    </w:p>
    <w:p w:rsidR="00C43648" w:rsidRDefault="0034759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81465444"/>
        </w:sdtPr>
        <w:sdtEndPr/>
        <w:sdtContent>
          <w:r w:rsidR="00596629">
            <w:drawing>
              <wp:inline distT="0" distB="0" distL="0" distR="0" wp14:editId="50D07946">
                <wp:extent cx="134302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9334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59A" w:rsidRDefault="0034759A">
      <w:r>
        <w:separator/>
      </w:r>
    </w:p>
  </w:endnote>
  <w:endnote w:type="continuationSeparator" w:id="0">
    <w:p w:rsidR="0034759A" w:rsidRDefault="00347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D26E2E" w:rsidRDefault="000C3B60">
    <w:pPr>
      <w:pStyle w:val="a4"/>
      <w:jc w:val="center"/>
      <w:rPr>
        <w:rStyle w:val="ab"/>
        <w:rFonts w:ascii="David" w:hAnsi="David"/>
      </w:rPr>
    </w:pPr>
    <w:r w:rsidRPr="00D26E2E">
      <w:rPr>
        <w:rStyle w:val="ab"/>
        <w:rFonts w:ascii="David" w:hAnsi="David"/>
      </w:rPr>
      <w:fldChar w:fldCharType="begin"/>
    </w:r>
    <w:r w:rsidR="00005C8B" w:rsidRPr="00D26E2E">
      <w:rPr>
        <w:rStyle w:val="ab"/>
        <w:rFonts w:ascii="David" w:hAnsi="David"/>
      </w:rPr>
      <w:instrText xml:space="preserve"> PAGE </w:instrText>
    </w:r>
    <w:r w:rsidRPr="00D26E2E">
      <w:rPr>
        <w:rStyle w:val="ab"/>
        <w:rFonts w:ascii="David" w:hAnsi="David"/>
      </w:rPr>
      <w:fldChar w:fldCharType="separate"/>
    </w:r>
    <w:r w:rsidR="00C36478">
      <w:rPr>
        <w:rStyle w:val="ab"/>
        <w:rFonts w:ascii="David" w:hAnsi="David"/>
        <w:rtl/>
      </w:rPr>
      <w:t>1</w:t>
    </w:r>
    <w:r w:rsidRPr="00D26E2E">
      <w:rPr>
        <w:rStyle w:val="ab"/>
        <w:rFonts w:ascii="David" w:hAnsi="David"/>
      </w:rPr>
      <w:fldChar w:fldCharType="end"/>
    </w:r>
    <w:r w:rsidR="00005C8B" w:rsidRPr="00D26E2E">
      <w:rPr>
        <w:rStyle w:val="ab"/>
        <w:rFonts w:ascii="David" w:hAnsi="David"/>
        <w:rtl/>
      </w:rPr>
      <w:t xml:space="preserve"> מתוך </w:t>
    </w:r>
    <w:r w:rsidRPr="00D26E2E">
      <w:rPr>
        <w:rStyle w:val="ab"/>
        <w:rFonts w:ascii="David" w:hAnsi="David"/>
      </w:rPr>
      <w:fldChar w:fldCharType="begin"/>
    </w:r>
    <w:r w:rsidR="00005C8B" w:rsidRPr="00D26E2E">
      <w:rPr>
        <w:rStyle w:val="ab"/>
        <w:rFonts w:ascii="David" w:hAnsi="David"/>
      </w:rPr>
      <w:instrText xml:space="preserve"> NUMPAGES </w:instrText>
    </w:r>
    <w:r w:rsidRPr="00D26E2E">
      <w:rPr>
        <w:rStyle w:val="ab"/>
        <w:rFonts w:ascii="David" w:hAnsi="David"/>
      </w:rPr>
      <w:fldChar w:fldCharType="separate"/>
    </w:r>
    <w:r w:rsidR="00C36478">
      <w:rPr>
        <w:rStyle w:val="ab"/>
        <w:rFonts w:ascii="David" w:hAnsi="David"/>
        <w:rtl/>
      </w:rPr>
      <w:t>15</w:t>
    </w:r>
    <w:r w:rsidRPr="00D26E2E">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59A" w:rsidRDefault="0034759A">
      <w:r>
        <w:separator/>
      </w:r>
    </w:p>
  </w:footnote>
  <w:footnote w:type="continuationSeparator" w:id="0">
    <w:p w:rsidR="0034759A" w:rsidRDefault="00347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4759A" w:rsidP="00365D11">
          <w:pPr>
            <w:rPr>
              <w:b/>
              <w:bCs/>
              <w:noProof w:val="0"/>
              <w:sz w:val="26"/>
              <w:szCs w:val="26"/>
              <w:rtl/>
            </w:rPr>
          </w:pPr>
          <w:sdt>
            <w:sdtPr>
              <w:rPr>
                <w:rtl/>
              </w:rPr>
              <w:alias w:val="1170"/>
              <w:tag w:val="1170"/>
              <w:id w:val="1066377040"/>
              <w:text w:multiLine="1"/>
            </w:sdtPr>
            <w:sdtEndPr/>
            <w:sdtContent>
              <w:r w:rsidR="006D4FF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6D4FF3">
                <w:rPr>
                  <w:b/>
                  <w:bCs/>
                  <w:noProof w:val="0"/>
                  <w:sz w:val="26"/>
                  <w:szCs w:val="26"/>
                  <w:rtl/>
                </w:rPr>
                <w:t>10899-03-21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365D11">
                <w:rPr>
                  <w:rFonts w:hint="cs"/>
                  <w:b/>
                  <w:bCs/>
                  <w:noProof w:val="0"/>
                  <w:sz w:val="26"/>
                  <w:szCs w:val="26"/>
                  <w:rtl/>
                </w:rPr>
                <w:t xml:space="preserve">פלוני </w:t>
              </w:r>
              <w:r w:rsidR="006D4FF3">
                <w:rPr>
                  <w:b/>
                  <w:bCs/>
                  <w:noProof w:val="0"/>
                  <w:sz w:val="26"/>
                  <w:szCs w:val="26"/>
                  <w:rtl/>
                </w:rPr>
                <w:t>נ' משטרת ישראל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34759A" w:rsidP="00365D11">
          <w:pPr>
            <w:rPr>
              <w:sz w:val="20"/>
              <w:szCs w:val="20"/>
              <w:rtl/>
            </w:rPr>
          </w:pP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DE0A62"/>
    <w:multiLevelType w:val="hybridMultilevel"/>
    <w:tmpl w:val="DE9A6940"/>
    <w:lvl w:ilvl="0" w:tplc="1C80A8EA">
      <w:start w:val="1"/>
      <w:numFmt w:val="decimal"/>
      <w:lvlText w:val="%1."/>
      <w:lvlJc w:val="left"/>
      <w:pPr>
        <w:ind w:left="720" w:hanging="360"/>
      </w:pPr>
      <w:rPr>
        <w:rFonts w:cs="David"/>
        <w:lang w:val="en-US"/>
      </w:rPr>
    </w:lvl>
    <w:lvl w:ilvl="1" w:tplc="87962886">
      <w:start w:val="1"/>
      <w:numFmt w:val="hebrew1"/>
      <w:lvlText w:val="%2."/>
      <w:lvlJc w:val="center"/>
      <w:pPr>
        <w:ind w:left="1440" w:hanging="360"/>
      </w:pPr>
      <w:rPr>
        <w:rFonts w:cs="David"/>
        <w:sz w:val="24"/>
        <w:szCs w:val="24"/>
      </w:rPr>
    </w:lvl>
    <w:lvl w:ilvl="2" w:tplc="F4B44094">
      <w:start w:val="1"/>
      <w:numFmt w:val="lowerRoman"/>
      <w:lvlText w:val="%3."/>
      <w:lvlJc w:val="right"/>
      <w:pPr>
        <w:ind w:left="2160" w:hanging="180"/>
      </w:pPr>
      <w:rPr>
        <w:rFonts w:cs="Times New Roman"/>
      </w:rPr>
    </w:lvl>
    <w:lvl w:ilvl="3" w:tplc="FB1AB9FE">
      <w:start w:val="1"/>
      <w:numFmt w:val="decimal"/>
      <w:lvlText w:val="%4."/>
      <w:lvlJc w:val="left"/>
      <w:pPr>
        <w:ind w:left="2880" w:hanging="360"/>
      </w:pPr>
      <w:rPr>
        <w:rFonts w:cs="Times New Roman"/>
      </w:rPr>
    </w:lvl>
    <w:lvl w:ilvl="4" w:tplc="F9582E0A">
      <w:start w:val="1"/>
      <w:numFmt w:val="lowerLetter"/>
      <w:lvlText w:val="%5."/>
      <w:lvlJc w:val="left"/>
      <w:pPr>
        <w:ind w:left="3600" w:hanging="360"/>
      </w:pPr>
      <w:rPr>
        <w:rFonts w:cs="Times New Roman"/>
      </w:rPr>
    </w:lvl>
    <w:lvl w:ilvl="5" w:tplc="82964320">
      <w:start w:val="1"/>
      <w:numFmt w:val="lowerRoman"/>
      <w:lvlText w:val="%6."/>
      <w:lvlJc w:val="right"/>
      <w:pPr>
        <w:ind w:left="4320" w:hanging="180"/>
      </w:pPr>
      <w:rPr>
        <w:rFonts w:cs="Times New Roman"/>
      </w:rPr>
    </w:lvl>
    <w:lvl w:ilvl="6" w:tplc="ABF4501E">
      <w:start w:val="1"/>
      <w:numFmt w:val="decimal"/>
      <w:lvlText w:val="%7."/>
      <w:lvlJc w:val="left"/>
      <w:pPr>
        <w:ind w:left="5040" w:hanging="360"/>
      </w:pPr>
      <w:rPr>
        <w:rFonts w:cs="Times New Roman"/>
      </w:rPr>
    </w:lvl>
    <w:lvl w:ilvl="7" w:tplc="0D40967C">
      <w:start w:val="1"/>
      <w:numFmt w:val="lowerLetter"/>
      <w:lvlText w:val="%8."/>
      <w:lvlJc w:val="left"/>
      <w:pPr>
        <w:ind w:left="5760" w:hanging="360"/>
      </w:pPr>
      <w:rPr>
        <w:rFonts w:cs="Times New Roman"/>
      </w:rPr>
    </w:lvl>
    <w:lvl w:ilvl="8" w:tplc="8250CEB4">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5814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58142&amp;lt;/CaseID&amp;gt;_x000d__x000a_        &amp;lt;CaseMonth&amp;gt;3&amp;lt;/CaseMonth&amp;gt;_x000d__x000a_        &amp;lt;CaseYear&amp;gt;2021&amp;lt;/CaseYear&amp;gt;_x000d__x000a_        &amp;lt;CaseNumber&amp;gt;10899&amp;lt;/CaseNumber&amp;gt;_x000d__x000a_        &amp;lt;NumeratorGroupID&amp;gt;1&amp;lt;/NumeratorGroupID&amp;gt;_x000d__x000a_        &amp;lt;CaseName&amp;gt;אבו אל דבעאת נ&amp;#39; משטרת ישראל ואח&amp;#39;&amp;lt;/CaseName&amp;gt;_x000d__x000a_        &amp;lt;CourtID&amp;gt;30&amp;lt;/CourtID&amp;gt;_x000d__x000a_        &amp;lt;CaseTypeID&amp;gt;1&amp;lt;/CaseTypeID&amp;gt;_x000d__x000a_        &amp;lt;CaseInterestID&amp;gt;41&amp;lt;/CaseInterestID&amp;gt;_x000d__x000a_        &amp;lt;CaseJudgeName&amp;gt;נאיל מהנא&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0899-03-21&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1-09T12:00:00+02:00&amp;lt;/CasePreviousSessionDate&amp;gt;_x000d__x000a_        &amp;lt;CaseNextDeterminingTask&amp;gt;257&amp;lt;/CaseNextDeterminingTask&amp;gt;_x000d__x000a_        &amp;lt;TemporaryAidStatus /&amp;gt;_x000d__x000a_        &amp;lt;CaseOpenDate&amp;gt;2021-03-04T12:47:00+02:00&amp;lt;/CaseOpenDate&amp;gt;_x000d__x000a_        &amp;lt;PleaTypeID&amp;gt;4&amp;lt;/PleaTypeID&amp;gt;_x000d__x000a_        &amp;lt;CourtLevelID&amp;gt;1&amp;lt;/CourtLevelID&amp;gt;_x000d__x000a_        &amp;lt;CourtLevelCaseTypeInterestID&amp;gt;9&amp;lt;/CourtLevelCaseTypeInterestID&amp;gt;_x000d__x000a_        &amp;lt;CaseJudgeFirstName&amp;gt;נאיל&amp;lt;/CaseJudgeFirstName&amp;gt;_x000d__x000a_        &amp;lt;CaseJudgeLastName&amp;gt;מהנא&amp;lt;/CaseJudgeLastName&amp;gt;_x000d__x000a_        &amp;lt;JudicalPersonID&amp;gt;025784190@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תקליטור הועבר למזכירות &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58142&amp;lt;/CaseID&amp;gt;_x000d__x000a_        &amp;lt;CaseMonth&amp;gt;3&amp;lt;/CaseMonth&amp;gt;_x000d__x000a_        &amp;lt;CaseYear&amp;gt;2021&amp;lt;/CaseYear&amp;gt;_x000d__x000a_        &amp;lt;CaseNumber&amp;gt;10899&amp;lt;/CaseNumber&amp;gt;_x000d__x000a_        &amp;lt;NumeratorGroupID&amp;gt;1&amp;lt;/NumeratorGroupID&amp;gt;_x000d__x000a_        &amp;lt;CaseName&amp;gt;אבו אל דבעאת נ&amp;#39; משטרת ישראל ואח&amp;#39;&amp;lt;/CaseName&amp;gt;_x000d__x000a_        &amp;lt;CourtID&amp;gt;30&amp;lt;/CourtID&amp;gt;_x000d__x000a_        &amp;lt;CaseTypeID&amp;gt;1&amp;lt;/CaseTypeID&amp;gt;_x000d__x000a_        &amp;lt;CaseInterestID&amp;gt;41&amp;lt;/CaseInterestID&amp;gt;_x000d__x000a_        &amp;lt;CaseJudgeName&amp;gt;נאיל מהנא&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0899-03-21&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CaseNextDeterminingTask&amp;gt;257&amp;lt;/CaseNextDeterminingTask&amp;gt;_x000d__x000a_        &amp;lt;CaseOpenDate&amp;gt;2021-03-04T12:47:00+02:00&amp;lt;/CaseOpenDate&amp;gt;_x000d__x000a_        &amp;lt;PleaTypeID&amp;gt;4&amp;lt;/PleaTypeID&amp;gt;_x000d__x000a_        &amp;lt;CourtLevelID&amp;gt;1&amp;lt;/CourtLevelID&amp;gt;_x000d__x000a_        &amp;lt;CourtLevelCaseTypeInterestID&amp;gt;9&amp;lt;/CourtLevelCaseTypeInterestID&amp;gt;_x000d__x000a_        &amp;lt;CaseJudgeFirstName&amp;gt;נאיל&amp;lt;/CaseJudgeFirstName&amp;gt;_x000d__x000a_        &amp;lt;CaseJudgeLastName&amp;gt;מהנא&amp;lt;/CaseJudgeLastName&amp;gt;_x000d__x000a_        &amp;lt;JudicalPersonID&amp;gt;025784190@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תקליטור הועבר למזכירו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20T15:34:49.6487626+02:00&amp;lt;/DecisionStatusChangeDate&amp;gt;_x000d__x000a_        &amp;lt;DecisionSignatureDate&amp;gt;2023-11-20T15:34:49.6487626+02:00&amp;lt;/DecisionSignatureDate&amp;gt;_x000d__x000a_        &amp;lt;DecisionSignatureUserID&amp;gt;025784190@GOV.IL&amp;lt;/DecisionSignatureUserID&amp;gt;_x000d__x000a_        &amp;lt;DecisionCreateDate&amp;gt;2023-11-20T15:34:49.6487626+02:00&amp;lt;/DecisionCreateDate&amp;gt;_x000d__x000a_        &amp;lt;DecisionChangeDate&amp;gt;2023-11-20T15:34:49.6487626+02:00&amp;lt;/DecisionChangeDate&amp;gt;_x000d__x000a_        &amp;lt;DecisionChangeUserID&amp;gt;0257841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7841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78419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15814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41"/>
    <w:docVar w:name="NGCS.TemplateCaseTypeID" w:val="1"/>
    <w:docVar w:name="NGCS.TemplateCategoryID" w:val="80"/>
    <w:docVar w:name="NGCS.TemplateCourtID" w:val="30"/>
    <w:docVar w:name="NGCS.TemplateProceedingID" w:val="1"/>
    <w:docVar w:name="SelectedDocumentID" w:val="422010795"/>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1F6BAD"/>
    <w:rsid w:val="002265FF"/>
    <w:rsid w:val="00271B56"/>
    <w:rsid w:val="00272E32"/>
    <w:rsid w:val="002C344E"/>
    <w:rsid w:val="002E75E9"/>
    <w:rsid w:val="002F0B1E"/>
    <w:rsid w:val="00307A6A"/>
    <w:rsid w:val="00307C40"/>
    <w:rsid w:val="00320433"/>
    <w:rsid w:val="003230C7"/>
    <w:rsid w:val="00327E50"/>
    <w:rsid w:val="0033597A"/>
    <w:rsid w:val="00343D89"/>
    <w:rsid w:val="0034759A"/>
    <w:rsid w:val="00362612"/>
    <w:rsid w:val="00365D11"/>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96629"/>
    <w:rsid w:val="005F4F09"/>
    <w:rsid w:val="00603F73"/>
    <w:rsid w:val="0061431B"/>
    <w:rsid w:val="00622BAA"/>
    <w:rsid w:val="006306CF"/>
    <w:rsid w:val="00644E9A"/>
    <w:rsid w:val="00671BD5"/>
    <w:rsid w:val="006805C1"/>
    <w:rsid w:val="00686C21"/>
    <w:rsid w:val="006931C1"/>
    <w:rsid w:val="00694556"/>
    <w:rsid w:val="006C30C5"/>
    <w:rsid w:val="006C6ADA"/>
    <w:rsid w:val="006D3B31"/>
    <w:rsid w:val="006D4FF3"/>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27CFA"/>
    <w:rsid w:val="00844318"/>
    <w:rsid w:val="00860102"/>
    <w:rsid w:val="00863F5D"/>
    <w:rsid w:val="00870890"/>
    <w:rsid w:val="00873602"/>
    <w:rsid w:val="00875D12"/>
    <w:rsid w:val="00876170"/>
    <w:rsid w:val="0088479D"/>
    <w:rsid w:val="00891F42"/>
    <w:rsid w:val="00896889"/>
    <w:rsid w:val="008A6E97"/>
    <w:rsid w:val="008B5EF4"/>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6096"/>
    <w:rsid w:val="00B964D9"/>
    <w:rsid w:val="00BA0A7C"/>
    <w:rsid w:val="00BA3E80"/>
    <w:rsid w:val="00BA517C"/>
    <w:rsid w:val="00BB3D05"/>
    <w:rsid w:val="00BB53D3"/>
    <w:rsid w:val="00BB73BE"/>
    <w:rsid w:val="00BC2D89"/>
    <w:rsid w:val="00BD6531"/>
    <w:rsid w:val="00BE05B2"/>
    <w:rsid w:val="00BF1908"/>
    <w:rsid w:val="00C22D93"/>
    <w:rsid w:val="00C23458"/>
    <w:rsid w:val="00C23AC9"/>
    <w:rsid w:val="00C31120"/>
    <w:rsid w:val="00C34482"/>
    <w:rsid w:val="00C36478"/>
    <w:rsid w:val="00C43648"/>
    <w:rsid w:val="00C50A9F"/>
    <w:rsid w:val="00C642FA"/>
    <w:rsid w:val="00C770E3"/>
    <w:rsid w:val="00CC7622"/>
    <w:rsid w:val="00CD608F"/>
    <w:rsid w:val="00CF6BB7"/>
    <w:rsid w:val="00D04AA4"/>
    <w:rsid w:val="00D26E2E"/>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C0F80"/>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65D11"/>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ac-h1">
    <w:name w:val="ac-h1"/>
    <w:basedOn w:val="a0"/>
    <w:rsid w:val="00365D11"/>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9850542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A5220" w:rsidP="008A5220">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5663E4" w:rsidP="005663E4">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5663E4" w:rsidP="005663E4">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5663E4" w:rsidP="005663E4">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5663E4" w:rsidP="005663E4">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5663E4" w:rsidRDefault="005663E4" w:rsidP="005663E4">
          <w:pPr>
            <w:pStyle w:val="D0835A28627A476594973290286577B21"/>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5663E4" w:rsidRDefault="005663E4" w:rsidP="005663E4">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5663E4"/>
    <w:rsid w:val="00601CCE"/>
    <w:rsid w:val="00793995"/>
    <w:rsid w:val="007C6F98"/>
    <w:rsid w:val="007E254A"/>
    <w:rsid w:val="008A5220"/>
    <w:rsid w:val="008B4366"/>
    <w:rsid w:val="009133C7"/>
    <w:rsid w:val="009178E4"/>
    <w:rsid w:val="00961B27"/>
    <w:rsid w:val="009A4BEE"/>
    <w:rsid w:val="00A51CA1"/>
    <w:rsid w:val="00AA7CE3"/>
    <w:rsid w:val="00AD53D7"/>
    <w:rsid w:val="00B50DB2"/>
    <w:rsid w:val="00B91FA3"/>
    <w:rsid w:val="00BA7725"/>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A52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5663E4"/>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5663E4"/>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5663E4"/>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5663E4"/>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5663E4"/>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5663E4"/>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5663E4"/>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5663E4"/>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5663E4"/>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5663E4"/>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5663E4"/>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A522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78158142</CaseID>
    <CaseJudicialPersonPresentationDS>
      <CaseJudicalPersonActive>
        <CaseID>78158142</CaseID>
        <JudicialPersonID>025784190@GOV.IL</JudicialPersonID>
        <JudicialPersonTypeID>1</JudicialPersonTypeID>
        <JudicialTypeID>1</JudicialTypeID>
        <IsChairman>false</IsChairman>
        <TreatmentStartDate>2022-05-04T08:44:36.693+03:00</TreatmentStartDate>
        <TreatmentFinishDate>9999-12-31T23:59:59.997+02:00</TreatmentFinishDate>
        <IdentificationCardNumber>025784190</IdentificationCardNumber>
        <DisplayName>נאיל מהנא</DisplayName>
        <JudicialTypeName>שופט</JudicialTypeName>
        <CaseJudicialGroupNumber>0</CaseJudicialGroupNumber>
        <FirstName>נאיל</FirstName>
        <LastName>מהנא</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סאלח אבו דבעאת</FullName>
        <FirstName>סאלח</FirstName>
        <LastName>אבו אל דבעאת</LastName>
        <PartyPropertyName/>
        <AuthenticationTypeAndNumber>ת"ז 029177144</AuthenticationTypeAndNumber>
        <RepresentatedOrRepresentativesNames>זאב וולף</RepresentatedOrRepresentativesNames>
        <RepresentatedOrRepresentativesCount>1</RepresentatedOrRepresentativesCount>
        <InvitedBy/>
        <CaseID>78158142</CaseID>
        <CaseJudicialPersonPresentationDS>
          <CaseJudicalPersonActive>
            <CaseID>78158142</CaseID>
            <JudicialPersonID>025784190@GOV.IL</JudicialPersonID>
            <JudicialPersonTypeID>1</JudicialPersonTypeID>
            <JudicialTypeID>1</JudicialTypeID>
            <IsChairman>false</IsChairman>
            <TreatmentStartDate>2022-05-04T08:44:36.693+03:00</TreatmentStartDate>
            <TreatmentFinishDate>9999-12-31T23:59:59.997+02:00</TreatmentFinishDate>
            <IdentificationCardNumber>025784190</IdentificationCardNumber>
            <DisplayName>נאיל מהנא</DisplayName>
            <JudicialTypeName>שופט</JudicialTypeName>
            <CaseJudicialGroupNumber>0</CaseJudicialGroupNumber>
            <FirstName>נאיל</FirstName>
            <LastName>מהנא</LastName>
            <JudicialPersonTitle>שופט</JudicialPersonTitle>
          </CaseJudicalPersonActive>
        </CaseJudicialPersonPresentationDS>
        <CasePartyID>223651964</CasePartyID>
        <PartyTypeID>1</PartyTypeID>
        <ActivityStatusID>1</ActivityStatusID>
        <PartyAliasID>1</PartyAliasID>
        <PartyAliasName>תובע</PartyAliasName>
        <OrdinalNumber>1</OrdinalNumber>
        <LegalEntityID>70252261</LegalEntityID>
        <CaseLegalEntityID>114477781</CaseLegalEntityID>
        <AuthenticationTypeID>1</AuthenticationTypeID>
        <AuthenticationTypeName>ת"ז</AuthenticationTypeName>
        <LegalEntityNumber>029177144</LegalEntityNumber>
        <IsMainPartyType>true</IsMainPartyType>
        <CaseDisplayIdentifier>10899-03-21</CaseDisplayIdentifier>
        <CaseTypeID>1</CaseTypeID>
        <CaseTypeName>תיק אזרחי בסדר דין רגיל (ת"א)</CaseTypeName>
        <CaseName>אבו אל דבעאת נ' משטרת ישראל ואח'</CaseName>
        <FullAddress>חי אל פארוק 20 ירושלים </FullAddress>
        <MotionID>0</MotionID>
        <CasePleaID>0</CasePleaID>
        <FatherName>מחמד חאפז</FatherName>
        <LinkedCaseID>0</LinkedCaseID>
        <PartyID>1</PartyID>
        <CasePartyCategoryID>2</CasePartyCategoryID>
        <LegalEntityAddressID>84937927</LegalEntityAddressID>
        <PleaTypeID>4</PleaTypeID>
        <GroupPartyAlias>תובעים</GroupPartyAlias>
        <IsConverted>false</IsConverted>
        <LegalEntityRegisteredNameID>2552774</LegalEntityRegisteredNameID>
        <LegalEntityNameID>91044939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סאלח אבו דבעאת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זאב וולף</FullName>
        <FirstName>זאב</FirstName>
        <LastName>וולף</LastName>
        <PartyPropertyName/>
        <AuthenticationTypeAndNumber>מ.ר. 63265</AuthenticationTypeAndNumber>
        <RepresentatedOrRepresentativesNames>סאלח אבו דבעאת</RepresentatedOrRepresentativesNames>
        <RepresentatedOrRepresentativesCount>1</RepresentatedOrRepresentativesCount>
        <InvitedBy/>
        <CaseID>78158142</CaseID>
        <CaseJudicialPersonPresentationDS>
          <CaseJudicalPersonActive>
            <CaseID>78158142</CaseID>
            <JudicialPersonID>025784190@GOV.IL</JudicialPersonID>
            <JudicialPersonTypeID>1</JudicialPersonTypeID>
            <JudicialTypeID>1</JudicialTypeID>
            <IsChairman>false</IsChairman>
            <TreatmentStartDate>2022-05-04T08:44:36.693+03:00</TreatmentStartDate>
            <TreatmentFinishDate>9999-12-31T23:59:59.997+02:00</TreatmentFinishDate>
            <IdentificationCardNumber>025784190</IdentificationCardNumber>
            <DisplayName>נאיל מהנא</DisplayName>
            <JudicialTypeName>שופט</JudicialTypeName>
            <CaseJudicialGroupNumber>0</CaseJudicialGroupNumber>
            <FirstName>נאיל</FirstName>
            <LastName>מהנא</LastName>
            <JudicialPersonTitle>שופט</JudicialPersonTitle>
          </CaseJudicalPersonActive>
        </CaseJudicialPersonPresentationDS>
        <CasePartyID>223651965</CasePartyID>
        <PartyTypeID>2</PartyTypeID>
        <ActivityStatusID>1</ActivityStatusID>
        <PartyAliasID>20</PartyAliasID>
        <PartyAliasName>בא כוח תובעים</PartyAliasName>
        <OrdinalNumber>1</OrdinalNumber>
        <LegalEntityID>72258518</LegalEntityID>
        <CaseLegalEntityID>114477782</CaseLegalEntityID>
        <AuthenticationTypeID>4</AuthenticationTypeID>
        <AuthenticationTypeName>מ.ר.</AuthenticationTypeName>
        <LegalEntityNumber>63265</LegalEntityNumber>
        <IsMainPartyType>true</IsMainPartyType>
        <CaseDisplayIdentifier>10899-03-21</CaseDisplayIdentifier>
        <CaseTypeID>1</CaseTypeID>
        <CaseTypeName>תיק אזרחי בסדר דין רגיל (ת"א)</CaseTypeName>
        <CaseName>אבו אל דבעאת נ' משטרת ישראל ואח'</CaseName>
        <FullAddress>ינאי 6, ת.ד. 604 ירושלים </FullAddress>
        <EmailAddress>office@shoshan-law.co.il</EmailAddress>
        <MotionID>0</MotionID>
        <CasePleaID>0</CasePleaID>
        <LinkedCaseID>0</LinkedCaseID>
        <PartyID>1</PartyID>
        <CasePartyCategoryID>2</CasePartyCategoryID>
        <LegalEntityAddressID>71005057</LegalEntityAddressID>
        <LegalEntityEmailAddressID>67899408</LegalEntityEmailAddressID>
        <PleaTypeID>4</PleaTypeID>
        <LawyerOfficeName>משרד עו"ד: יהודה שושן</LawyerOfficeName>
        <LawyerOfficeID>455143</LawyerOfficeID>
        <GroupPartyAlias/>
        <IsConverted>false</IsConverted>
        <LegalEntityNameID>76050907</LegalEntityNameID>
        <RepresentatedNamesOfAssistant/>
        <LegalEntityTypeID>4</LegalEntityTypeID>
        <IsVerdictExists>false</IsVerdictExists>
        <IsAsirAzir>false</IsAsirAzir>
        <IsPublicationProhibited>false</IsPublicationProhibited>
        <PublicationProhibitedFullName>זאב וולף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משטרת ישראל</FullName>
        <FirstName/>
        <LastName>משטרת ישראל</LastName>
        <PartyPropertyName/>
        <AuthenticationTypeAndNumber>חברות </AuthenticationTypeAndNumber>
        <RepresentatedOrRepresentativesNames>קרן יוסט</RepresentatedOrRepresentativesNames>
        <RepresentatedOrRepresentativesCount>1</RepresentatedOrRepresentativesCount>
        <InvitedBy/>
        <CaseID>78158142</CaseID>
        <CaseJudicialPersonPresentationDS>
          <CaseJudicalPersonActive>
            <CaseID>78158142</CaseID>
            <JudicialPersonID>025784190@GOV.IL</JudicialPersonID>
            <JudicialPersonTypeID>1</JudicialPersonTypeID>
            <JudicialTypeID>1</JudicialTypeID>
            <IsChairman>false</IsChairman>
            <TreatmentStartDate>2022-05-04T08:44:36.693+03:00</TreatmentStartDate>
            <TreatmentFinishDate>9999-12-31T23:59:59.997+02:00</TreatmentFinishDate>
            <IdentificationCardNumber>025784190</IdentificationCardNumber>
            <DisplayName>נאיל מהנא</DisplayName>
            <JudicialTypeName>שופט</JudicialTypeName>
            <CaseJudicialGroupNumber>0</CaseJudicialGroupNumber>
            <FirstName>נאיל</FirstName>
            <LastName>מהנא</LastName>
            <JudicialPersonTitle>שופט</JudicialPersonTitle>
          </CaseJudicalPersonActive>
        </CaseJudicialPersonPresentationDS>
        <CasePartyID>223651966</CasePartyID>
        <PartyTypeID>1</PartyTypeID>
        <ActivityStatusID>1</ActivityStatusID>
        <PartyAliasID>2</PartyAliasID>
        <PartyAliasName>נתבע</PartyAliasName>
        <OrdinalNumber>1</OrdinalNumber>
        <LegalEntityID>79609216</LegalEntityID>
        <CaseLegalEntityID>114477783</CaseLegalEntityID>
        <AuthenticationTypeID>3</AuthenticationTypeID>
        <AuthenticationTypeName>חברות</AuthenticationTypeName>
        <IsMainPartyType>true</IsMainPartyType>
        <CaseDisplayIdentifier>10899-03-21</CaseDisplayIdentifier>
        <CaseTypeID>1</CaseTypeID>
        <CaseTypeName>תיק אזרחי בסדר דין רגיל (ת"א)</CaseTypeName>
        <CaseName>אבו אל דבעאת נ' משטרת ישראל ואח'</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NameID>91044937</LegalEntityNameID>
        <RepresentatedNamesOfAssistant/>
        <LegalEntityTypeID>3</LegalEntityTypeID>
        <IsVerdictExists>false</IsVerdictExists>
        <IsAsirAzir>false</IsAsirAzir>
        <IsPublicationProhibited>false</IsPublicationProhibited>
        <PublicationProhibitedFullName>משטרת ישראל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משטרת ישראל,  משרד המצשפטים - פרקליטות המדינה</RepresentatedOrRepresentativesNames>
        <RepresentatedOrRepresentativesCount>2</RepresentatedOrRepresentativesCount>
        <InvitedBy/>
        <CaseID>78158142</CaseID>
        <CaseJudicialPersonPresentationDS>
          <CaseJudicalPersonActive>
            <CaseID>78158142</CaseID>
            <JudicialPersonID>025784190@GOV.IL</JudicialPersonID>
            <JudicialPersonTypeID>1</JudicialPersonTypeID>
            <JudicialTypeID>1</JudicialTypeID>
            <IsChairman>false</IsChairman>
            <TreatmentStartDate>2022-05-04T08:44:36.693+03:00</TreatmentStartDate>
            <TreatmentFinishDate>9999-12-31T23:59:59.997+02:00</TreatmentFinishDate>
            <IdentificationCardNumber>025784190</IdentificationCardNumber>
            <DisplayName>נאיל מהנא</DisplayName>
            <JudicialTypeName>שופט</JudicialTypeName>
            <CaseJudicialGroupNumber>0</CaseJudicialGroupNumber>
            <FirstName>נאיל</FirstName>
            <LastName>מהנא</LastName>
            <JudicialPersonTitle>שופט</JudicialPersonTitle>
          </CaseJudicalPersonActive>
        </CaseJudicialPersonPresentationDS>
        <CasePartyID>260961944</CasePartyID>
        <PartyTypeID>2</PartyTypeID>
        <ActivityStatusID>1</ActivityStatusID>
        <PartyAliasID>21</PartyAliasID>
        <PartyAliasName>בא כוח נתבעים</PartyAliasName>
        <OrdinalNumber>1</OrdinalNumber>
        <LegalEntityID>401563</LegalEntityID>
        <CaseLegalEntityID>126068503</CaseLegalEntityID>
        <AuthenticationTypeID>4</AuthenticationTypeID>
        <AuthenticationTypeName>מ.ר.</AuthenticationTypeName>
        <LegalEntityNumber>23388</LegalEntityNumber>
        <IsMainPartyType>true</IsMainPartyType>
        <CaseDisplayIdentifier>10899-03-21</CaseDisplayIdentifier>
        <CaseTypeID>1</CaseTypeID>
        <CaseTypeName>תיק אזרחי בסדר דין רגיל (ת"א)</CaseTypeName>
        <CaseName>אבו אל דבעאת נ' משטרת ישראל ואח'</CaseName>
        <FullAddress>מח"ל 7 ירושלים </FullAddress>
        <MotionID>0</MotionID>
        <CasePleaID>0</CasePleaID>
        <LinkedCaseID>0</LinkedCaseID>
        <PartyID>2</PartyID>
        <CasePartyCategoryID>2</CasePartyCategoryID>
        <LegalEntityAddressID>58125595</LegalEntity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משרד המצשפטים - פרקליטות המדינה</FullName>
        <FirstName/>
        <LastName>משרד המצשפטים - פרקליטות המדינה</LastName>
        <PartyPropertyName/>
        <AuthenticationTypeAndNumber>חברות </AuthenticationTypeAndNumber>
        <RepresentatedOrRepresentativesNames>קרן יוסט</RepresentatedOrRepresentativesNames>
        <RepresentatedOrRepresentativesCount>1</RepresentatedOrRepresentativesCount>
        <InvitedBy/>
        <CaseID>78158142</CaseID>
        <CaseJudicialPersonPresentationDS>
          <CaseJudicalPersonActive>
            <CaseID>78158142</CaseID>
            <JudicialPersonID>025784190@GOV.IL</JudicialPersonID>
            <JudicialPersonTypeID>1</JudicialPersonTypeID>
            <JudicialTypeID>1</JudicialTypeID>
            <IsChairman>false</IsChairman>
            <TreatmentStartDate>2022-05-04T08:44:36.693+03:00</TreatmentStartDate>
            <TreatmentFinishDate>9999-12-31T23:59:59.997+02:00</TreatmentFinishDate>
            <IdentificationCardNumber>025784190</IdentificationCardNumber>
            <DisplayName>נאיל מהנא</DisplayName>
            <JudicialTypeName>שופט</JudicialTypeName>
            <CaseJudicialGroupNumber>0</CaseJudicialGroupNumber>
            <FirstName>נאיל</FirstName>
            <LastName>מהנא</LastName>
            <JudicialPersonTitle>שופט</JudicialPersonTitle>
          </CaseJudicalPersonActive>
        </CaseJudicialPersonPresentationDS>
        <CasePartyID>223651967</CasePartyID>
        <PartyTypeID>1</PartyTypeID>
        <ActivityStatusID>1</ActivityStatusID>
        <PartyAliasID>2</PartyAliasID>
        <PartyAliasName>נתבע</PartyAliasName>
        <OrdinalNumber>2</OrdinalNumber>
        <LegalEntityID>79609217</LegalEntityID>
        <CaseLegalEntityID>114477784</CaseLegalEntityID>
        <AuthenticationTypeID>3</AuthenticationTypeID>
        <AuthenticationTypeName>חברות</AuthenticationTypeName>
        <IsMainPartyType>true</IsMainPartyType>
        <CaseDisplayIdentifier>10899-03-21</CaseDisplayIdentifier>
        <CaseTypeID>1</CaseTypeID>
        <CaseTypeName>תיק אזרחי בסדר דין רגיל (ת"א)</CaseTypeName>
        <CaseName>אבו אל דבעאת נ' משטרת ישראל ואח'</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NameID>91044938</LegalEntityNameID>
        <RepresentatedNamesOfAssistant/>
        <LegalEntityTypeID>3</LegalEntityTypeID>
        <IsVerdictExists>false</IsVerdictExists>
        <IsAsirAzir>false</IsAsirAzir>
        <IsPublicationProhibited>false</IsPublicationProhibited>
        <PublicationProhibitedFullName>משרד המצשפטים - פרקליטות המדינה</PublicationProhibitedFullName>
      </CaseParties>
    </CasePartiesSelectionDS>
    <DecisionName>פסק דין  שניתנה ע"י  נאיל מהנא</DecisionName>
    <CourtDisplayName>בית משפט השלום בירושלים</CourtDisplayName>
    <IsCaseJudgePanel>false</IsCaseJudgePanel>
    <DecisionSignatureDate>2023-11-20T15:34:49.6487626+02:00</DecisionSignatureDate>
    <OpenCaseDate>2021-03-04T12:47:00+02:00</OpenCaseDate>
    <CaseFeeSum>0.000</CaseFeeSum>
    <DecisionTypeID>2</DecisionTypeID>
    <DecisionSignatureUserName>נאיל מהנא</DecisionSignatureUserName>
    <DecisionSignatureDateHebrew>2023-11-20T15:34:49.6487626+02:00</DecisionSignatureDateHebrew>
    <DecisionWriterID>025784190@GOV.IL</DecisionWriterID>
    <CourtAddress>רח' חשין 1, ירושלים 9515601</CourtAddress>
    <IsAutoTextInCaseExist>false</IsAutoTextInCaseExist>
    <DecisionSignatureRoleName>שופט</DecisionSignatureRoleName>
    <DecisionSignatureUserTitleName>שופט בכיר</DecisionSignatureUserTitleName>
    <CaseName>אבו אל דבעאת נ' משטרת ישראל ואח'</CaseName>
    <DecisionNumberInCase>7</DecisionNumberInCase>
  </dt_Decision>
  <dt_DecisionCase>
    <DecisionID>0</DecisionID>
    <CaseID>78158142</CaseID>
    <CaseJudicialPersonPresentationDS>
      <CaseJudicalPersonActive>
        <CaseID>78158142</CaseID>
        <JudicialPersonID>025784190@GOV.IL</JudicialPersonID>
        <JudicialPersonTypeID>1</JudicialPersonTypeID>
        <JudicialTypeID>1</JudicialTypeID>
        <IsChairman>false</IsChairman>
        <TreatmentStartDate>2022-05-04T08:44:36.693+03:00</TreatmentStartDate>
        <TreatmentFinishDate>9999-12-31T23:59:59.997+02:00</TreatmentFinishDate>
        <IdentificationCardNumber>025784190</IdentificationCardNumber>
        <DisplayName>נאיל מהנא</DisplayName>
        <JudicialTypeName>שופט</JudicialTypeName>
        <CaseJudicialGroupNumber>0</CaseJudicialGroupNumber>
        <FirstName>נאיל</FirstName>
        <LastName>מהנא</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סאלח אבו דבעאת</FullName>
        <FirstName>סאלח</FirstName>
        <LastName>אבו אל דבעאת</LastName>
        <PartyPropertyName/>
        <AuthenticationTypeAndNumber>ת"ז 029177144</AuthenticationTypeAndNumber>
        <RepresentatedOrRepresentativesNames>זאב וולף</RepresentatedOrRepresentativesNames>
        <RepresentatedOrRepresentativesCount>1</RepresentatedOrRepresentativesCount>
        <InvitedBy/>
        <CaseID>78158142</CaseID>
        <CaseJudicialPersonPresentationDS>
          <CaseJudicalPersonActive>
            <CaseID>78158142</CaseID>
            <JudicialPersonID>025784190@GOV.IL</JudicialPersonID>
            <JudicialPersonTypeID>1</JudicialPersonTypeID>
            <JudicialTypeID>1</JudicialTypeID>
            <IsChairman>false</IsChairman>
            <TreatmentStartDate>2022-05-04T08:44:36.693+03:00</TreatmentStartDate>
            <TreatmentFinishDate>9999-12-31T23:59:59.997+02:00</TreatmentFinishDate>
            <IdentificationCardNumber>025784190</IdentificationCardNumber>
            <DisplayName>נאיל מהנא</DisplayName>
            <JudicialTypeName>שופט</JudicialTypeName>
            <CaseJudicialGroupNumber>0</CaseJudicialGroupNumber>
            <FirstName>נאיל</FirstName>
            <LastName>מהנא</LastName>
            <JudicialPersonTitle>שופט</JudicialPersonTitle>
          </CaseJudicalPersonActive>
        </CaseJudicialPersonPresentationDS>
        <CasePartyID>223651964</CasePartyID>
        <PartyTypeID>1</PartyTypeID>
        <ActivityStatusID>1</ActivityStatusID>
        <PartyAliasID>1</PartyAliasID>
        <PartyAliasName>תובע</PartyAliasName>
        <OrdinalNumber>1</OrdinalNumber>
        <LegalEntityID>70252261</LegalEntityID>
        <CaseLegalEntityID>114477781</CaseLegalEntityID>
        <AuthenticationTypeID>1</AuthenticationTypeID>
        <AuthenticationTypeName>ת"ז</AuthenticationTypeName>
        <LegalEntityNumber>029177144</LegalEntityNumber>
        <IsMainPartyType>true</IsMainPartyType>
        <CaseDisplayIdentifier>10899-03-21</CaseDisplayIdentifier>
        <CaseTypeID>1</CaseTypeID>
        <CaseTypeName>תיק אזרחי בסדר דין רגיל (ת"א)</CaseTypeName>
        <CaseName>אבו אל דבעאת נ' משטרת ישראל ואח'</CaseName>
        <FullAddress>חי אל פארוק 20 ירושלים </FullAddress>
        <MotionID>0</MotionID>
        <CasePleaID>0</CasePleaID>
        <FatherName>מחמד חאפז</FatherName>
        <LinkedCaseID>0</LinkedCaseID>
        <PartyID>1</PartyID>
        <CasePartyCategoryID>2</CasePartyCategoryID>
        <LegalEntityAddressID>84937927</LegalEntityAddressID>
        <PleaTypeID>4</PleaTypeID>
        <GroupPartyAlias>תובעים</GroupPartyAlias>
        <IsConverted>false</IsConverted>
        <LegalEntityRegisteredNameID>2552774</LegalEntityRegisteredNameID>
        <LegalEntityNameID>91044939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סאלח אבו דבעאת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זאב וולף</FullName>
        <FirstName>זאב</FirstName>
        <LastName>וולף</LastName>
        <PartyPropertyName/>
        <AuthenticationTypeAndNumber>מ.ר. 63265</AuthenticationTypeAndNumber>
        <RepresentatedOrRepresentativesNames>סאלח אבו דבעאת</RepresentatedOrRepresentativesNames>
        <RepresentatedOrRepresentativesCount>1</RepresentatedOrRepresentativesCount>
        <InvitedBy/>
        <CaseID>78158142</CaseID>
        <CaseJudicialPersonPresentationDS>
          <CaseJudicalPersonActive>
            <CaseID>78158142</CaseID>
            <JudicialPersonID>025784190@GOV.IL</JudicialPersonID>
            <JudicialPersonTypeID>1</JudicialPersonTypeID>
            <JudicialTypeID>1</JudicialTypeID>
            <IsChairman>false</IsChairman>
            <TreatmentStartDate>2022-05-04T08:44:36.693+03:00</TreatmentStartDate>
            <TreatmentFinishDate>9999-12-31T23:59:59.997+02:00</TreatmentFinishDate>
            <IdentificationCardNumber>025784190</IdentificationCardNumber>
            <DisplayName>נאיל מהנא</DisplayName>
            <JudicialTypeName>שופט</JudicialTypeName>
            <CaseJudicialGroupNumber>0</CaseJudicialGroupNumber>
            <FirstName>נאיל</FirstName>
            <LastName>מהנא</LastName>
            <JudicialPersonTitle>שופט</JudicialPersonTitle>
          </CaseJudicalPersonActive>
        </CaseJudicialPersonPresentationDS>
        <CasePartyID>223651965</CasePartyID>
        <PartyTypeID>2</PartyTypeID>
        <ActivityStatusID>1</ActivityStatusID>
        <PartyAliasID>20</PartyAliasID>
        <PartyAliasName>בא כוח תובעים</PartyAliasName>
        <OrdinalNumber>1</OrdinalNumber>
        <LegalEntityID>72258518</LegalEntityID>
        <CaseLegalEntityID>114477782</CaseLegalEntityID>
        <AuthenticationTypeID>4</AuthenticationTypeID>
        <AuthenticationTypeName>מ.ר.</AuthenticationTypeName>
        <LegalEntityNumber>63265</LegalEntityNumber>
        <IsMainPartyType>true</IsMainPartyType>
        <CaseDisplayIdentifier>10899-03-21</CaseDisplayIdentifier>
        <CaseTypeID>1</CaseTypeID>
        <CaseTypeName>תיק אזרחי בסדר דין רגיל (ת"א)</CaseTypeName>
        <CaseName>אבו אל דבעאת נ' משטרת ישראל ואח'</CaseName>
        <FullAddress>ינאי 6, ת.ד. 604 ירושלים </FullAddress>
        <EmailAddress>office@shoshan-law.co.il</EmailAddress>
        <MotionID>0</MotionID>
        <CasePleaID>0</CasePleaID>
        <LinkedCaseID>0</LinkedCaseID>
        <PartyID>1</PartyID>
        <CasePartyCategoryID>2</CasePartyCategoryID>
        <LegalEntityAddressID>71005057</LegalEntityAddressID>
        <LegalEntityEmailAddressID>67899408</LegalEntityEmailAddressID>
        <PleaTypeID>4</PleaTypeID>
        <LawyerOfficeName>משרד עו"ד: יהודה שושן</LawyerOfficeName>
        <LawyerOfficeID>455143</LawyerOfficeID>
        <GroupPartyAlias/>
        <IsConverted>false</IsConverted>
        <LegalEntityNameID>76050907</LegalEntityNameID>
        <RepresentatedNamesOfAssistant/>
        <LegalEntityTypeID>4</LegalEntityTypeID>
        <IsVerdictExists>false</IsVerdictExists>
        <IsAsirAzir>false</IsAsirAzir>
        <IsPublicationProhibited>false</IsPublicationProhibited>
        <PublicationProhibitedFullName>זאב וולף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משטרת ישראל</FullName>
        <FirstName/>
        <LastName>משטרת ישראל</LastName>
        <PartyPropertyName/>
        <AuthenticationTypeAndNumber>חברות </AuthenticationTypeAndNumber>
        <RepresentatedOrRepresentativesNames>קרן יוסט</RepresentatedOrRepresentativesNames>
        <RepresentatedOrRepresentativesCount>1</RepresentatedOrRepresentativesCount>
        <InvitedBy/>
        <CaseID>78158142</CaseID>
        <CaseJudicialPersonPresentationDS>
          <CaseJudicalPersonActive>
            <CaseID>78158142</CaseID>
            <JudicialPersonID>025784190@GOV.IL</JudicialPersonID>
            <JudicialPersonTypeID>1</JudicialPersonTypeID>
            <JudicialTypeID>1</JudicialTypeID>
            <IsChairman>false</IsChairman>
            <TreatmentStartDate>2022-05-04T08:44:36.693+03:00</TreatmentStartDate>
            <TreatmentFinishDate>9999-12-31T23:59:59.997+02:00</TreatmentFinishDate>
            <IdentificationCardNumber>025784190</IdentificationCardNumber>
            <DisplayName>נאיל מהנא</DisplayName>
            <JudicialTypeName>שופט</JudicialTypeName>
            <CaseJudicialGroupNumber>0</CaseJudicialGroupNumber>
            <FirstName>נאיל</FirstName>
            <LastName>מהנא</LastName>
            <JudicialPersonTitle>שופט</JudicialPersonTitle>
          </CaseJudicalPersonActive>
        </CaseJudicialPersonPresentationDS>
        <CasePartyID>223651966</CasePartyID>
        <PartyTypeID>1</PartyTypeID>
        <ActivityStatusID>1</ActivityStatusID>
        <PartyAliasID>2</PartyAliasID>
        <PartyAliasName>נתבע</PartyAliasName>
        <OrdinalNumber>1</OrdinalNumber>
        <LegalEntityID>79609216</LegalEntityID>
        <CaseLegalEntityID>114477783</CaseLegalEntityID>
        <AuthenticationTypeID>3</AuthenticationTypeID>
        <AuthenticationTypeName>חברות</AuthenticationTypeName>
        <IsMainPartyType>true</IsMainPartyType>
        <CaseDisplayIdentifier>10899-03-21</CaseDisplayIdentifier>
        <CaseTypeID>1</CaseTypeID>
        <CaseTypeName>תיק אזרחי בסדר דין רגיל (ת"א)</CaseTypeName>
        <CaseName>אבו אל דבעאת נ' משטרת ישראל ואח'</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NameID>91044937</LegalEntityNameID>
        <RepresentatedNamesOfAssistant/>
        <LegalEntityTypeID>3</LegalEntityTypeID>
        <IsVerdictExists>false</IsVerdictExists>
        <IsAsirAzir>false</IsAsirAzir>
        <IsPublicationProhibited>false</IsPublicationProhibited>
        <PublicationProhibitedFullName>משטרת ישראל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משטרת ישראל,  משרד המצשפטים - פרקליטות המדינה</RepresentatedOrRepresentativesNames>
        <RepresentatedOrRepresentativesCount>2</RepresentatedOrRepresentativesCount>
        <InvitedBy/>
        <CaseID>78158142</CaseID>
        <CaseJudicialPersonPresentationDS>
          <CaseJudicalPersonActive>
            <CaseID>78158142</CaseID>
            <JudicialPersonID>025784190@GOV.IL</JudicialPersonID>
            <JudicialPersonTypeID>1</JudicialPersonTypeID>
            <JudicialTypeID>1</JudicialTypeID>
            <IsChairman>false</IsChairman>
            <TreatmentStartDate>2022-05-04T08:44:36.693+03:00</TreatmentStartDate>
            <TreatmentFinishDate>9999-12-31T23:59:59.997+02:00</TreatmentFinishDate>
            <IdentificationCardNumber>025784190</IdentificationCardNumber>
            <DisplayName>נאיל מהנא</DisplayName>
            <JudicialTypeName>שופט</JudicialTypeName>
            <CaseJudicialGroupNumber>0</CaseJudicialGroupNumber>
            <FirstName>נאיל</FirstName>
            <LastName>מהנא</LastName>
            <JudicialPersonTitle>שופט</JudicialPersonTitle>
          </CaseJudicalPersonActive>
        </CaseJudicialPersonPresentationDS>
        <CasePartyID>260961944</CasePartyID>
        <PartyTypeID>2</PartyTypeID>
        <ActivityStatusID>1</ActivityStatusID>
        <PartyAliasID>21</PartyAliasID>
        <PartyAliasName>בא כוח נתבעים</PartyAliasName>
        <OrdinalNumber>1</OrdinalNumber>
        <LegalEntityID>401563</LegalEntityID>
        <CaseLegalEntityID>126068503</CaseLegalEntityID>
        <AuthenticationTypeID>4</AuthenticationTypeID>
        <AuthenticationTypeName>מ.ר.</AuthenticationTypeName>
        <LegalEntityNumber>23388</LegalEntityNumber>
        <IsMainPartyType>true</IsMainPartyType>
        <CaseDisplayIdentifier>10899-03-21</CaseDisplayIdentifier>
        <CaseTypeID>1</CaseTypeID>
        <CaseTypeName>תיק אזרחי בסדר דין רגיל (ת"א)</CaseTypeName>
        <CaseName>אבו אל דבעאת נ' משטרת ישראל ואח'</CaseName>
        <FullAddress>מח"ל 7 ירושלים </FullAddress>
        <MotionID>0</MotionID>
        <CasePleaID>0</CasePleaID>
        <LinkedCaseID>0</LinkedCaseID>
        <PartyID>2</PartyID>
        <CasePartyCategoryID>2</CasePartyCategoryID>
        <LegalEntityAddressID>58125595</LegalEntity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משרד המצשפטים - פרקליטות המדינה</FullName>
        <FirstName/>
        <LastName>משרד המצשפטים - פרקליטות המדינה</LastName>
        <PartyPropertyName/>
        <AuthenticationTypeAndNumber>חברות </AuthenticationTypeAndNumber>
        <RepresentatedOrRepresentativesNames>קרן יוסט</RepresentatedOrRepresentativesNames>
        <RepresentatedOrRepresentativesCount>1</RepresentatedOrRepresentativesCount>
        <InvitedBy/>
        <CaseID>78158142</CaseID>
        <CaseJudicialPersonPresentationDS>
          <CaseJudicalPersonActive>
            <CaseID>78158142</CaseID>
            <JudicialPersonID>025784190@GOV.IL</JudicialPersonID>
            <JudicialPersonTypeID>1</JudicialPersonTypeID>
            <JudicialTypeID>1</JudicialTypeID>
            <IsChairman>false</IsChairman>
            <TreatmentStartDate>2022-05-04T08:44:36.693+03:00</TreatmentStartDate>
            <TreatmentFinishDate>9999-12-31T23:59:59.997+02:00</TreatmentFinishDate>
            <IdentificationCardNumber>025784190</IdentificationCardNumber>
            <DisplayName>נאיל מהנא</DisplayName>
            <JudicialTypeName>שופט</JudicialTypeName>
            <CaseJudicialGroupNumber>0</CaseJudicialGroupNumber>
            <FirstName>נאיל</FirstName>
            <LastName>מהנא</LastName>
            <JudicialPersonTitle>שופט</JudicialPersonTitle>
          </CaseJudicalPersonActive>
        </CaseJudicialPersonPresentationDS>
        <CasePartyID>223651967</CasePartyID>
        <PartyTypeID>1</PartyTypeID>
        <ActivityStatusID>1</ActivityStatusID>
        <PartyAliasID>2</PartyAliasID>
        <PartyAliasName>נתבע</PartyAliasName>
        <OrdinalNumber>2</OrdinalNumber>
        <LegalEntityID>79609217</LegalEntityID>
        <CaseLegalEntityID>114477784</CaseLegalEntityID>
        <AuthenticationTypeID>3</AuthenticationTypeID>
        <AuthenticationTypeName>חברות</AuthenticationTypeName>
        <IsMainPartyType>true</IsMainPartyType>
        <CaseDisplayIdentifier>10899-03-21</CaseDisplayIdentifier>
        <CaseTypeID>1</CaseTypeID>
        <CaseTypeName>תיק אזרחי בסדר דין רגיל (ת"א)</CaseTypeName>
        <CaseName>אבו אל דבעאת נ' משטרת ישראל ואח'</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NameID>91044938</LegalEntityNameID>
        <RepresentatedNamesOfAssistant/>
        <LegalEntityTypeID>3</LegalEntityTypeID>
        <IsVerdictExists>false</IsVerdictExists>
        <IsAsirAzir>false</IsAsirAzir>
        <IsPublicationProhibited>false</IsPublicationProhibited>
        <PublicationProhibitedFullName>משרד המצשפטים - פרקליטות המדינה</PublicationProhibitedFullName>
      </CaseParties>
    </CasePartiesSelectionDS>
    <CaseName>אבו אל דבעאת נ' משטרת ישראל ואח'</CaseName>
    <CaseDisplayIdentifier>10899-03-21</CaseDisplayIdentifier>
    <CaseInterestID>41</CaseInterestID>
    <CaseTypeShortName>ת"א</CaseTypeShortName>
  </dt_DecisionCase>
  <dt_DecisionJudgePanel>
    <JudgeID>025784190@GOV.IL</JudgeID>
    <DisplayName>נאיל מהנא</DisplayName>
    <RoleName>שופט</RoleName>
    <UserTitleName>שופט בכיר</UserTitleName>
  </dt_DecisionJudgePanel>
  <dt_LegalEntityDetails>
    <PartyID>1</PartyID>
    <PartyTypeID>1</PartyTypeID>
    <DecisionID>0</DecisionID>
    <StreetName>חי אל פארוק 20</StreetName>
    <CityName>ירושלים</CityName>
    <FullName>סאלח אבו דבעאת</FullName>
    <IsPublicationProhibited>false</IsPublicationProhibited>
  </dt_LegalEntityDetails>
  <dt_LegalEntityDetails>
    <Fax>02-6234135</Fax>
    <Phone>02-5001122</Phone>
    <AddressDesc/>
    <PartyID>1</PartyID>
    <PartyTypeID>2</PartyTypeID>
    <DecisionID>0</DecisionID>
    <StreetName>ינאי 6, ת.ד. 604</StreetName>
    <ZipCode>91006</ZipCode>
    <CityName>ירושלים</CityName>
    <FullName>זאב וולף</FullName>
    <Email>office@shoshan-law.co.il</Email>
    <IsPublicationProhibited>false</IsPublicationProhibited>
  </dt_LegalEntityDetails>
  <dt_LegalEntityDetails>
    <PartyID>2</PartyID>
    <PartyTypeID>1</PartyTypeID>
    <DecisionID>0</DecisionID>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בכיר נאיל מהנא</CaseJudicalPerson>
  </dt_CaseJudicalPersonActive>
  <dt_Sitting>
    <PreviousMeetingDate>2023-01-09T12:00:00+02:00</PreviousMeetingDate>
    <PreviousSittingTypeID>2</PreviousSittingTypeID>
    <PreviousMeetingDisplayName>שופט בכיר נאיל מהנא</PreviousMeetingDisplayName>
    <PreviousMeetingRoleName>שופט</PreviousMeetingRoleName>
    <PreviousMeetingUserTitleName>שופט בכיר</PreviousMeetingUserTitleName>
    <PreviousMeetingUserUPN>025784190@GOV.IL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F1BD5-EFAC-4BE2-889B-FBF2E142C2C1}">
  <ds:schemaRefs/>
</ds:datastoreItem>
</file>

<file path=customXml/itemProps2.xml><?xml version="1.0" encoding="utf-8"?>
<ds:datastoreItem xmlns:ds="http://schemas.openxmlformats.org/officeDocument/2006/customXml" ds:itemID="{1F0B41F3-164F-4738-BE5F-1AD05835D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4339</Words>
  <Characters>21696</Characters>
  <Application>Microsoft Office Word</Application>
  <DocSecurity>0</DocSecurity>
  <Lines>180</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2023-11-29T09:31:00Z</dcterms:created>
  <dcterms:modified xsi:type="dcterms:W3CDTF">2023-11-29T09:31:00Z</dcterms:modified>
</cp:coreProperties>
</file>